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AC6D6B">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14</w:t>
      </w:r>
      <w:r>
        <w:rPr>
          <w:rFonts w:hint="eastAsia" w:ascii="Arial" w:hAnsi="Arial" w:cs="Arial"/>
          <w:b/>
          <w:sz w:val="24"/>
          <w:szCs w:val="24"/>
        </w:rPr>
        <w:t xml:space="preserve">                             </w:t>
      </w:r>
      <w:r>
        <w:rPr>
          <w:rFonts w:hint="eastAsia" w:ascii="Arial" w:hAnsi="Arial" w:cs="Arial"/>
          <w:b/>
          <w:sz w:val="24"/>
          <w:szCs w:val="24"/>
          <w:lang w:val="en-US" w:eastAsia="zh-CN"/>
        </w:rPr>
        <w:t xml:space="preserve">  </w:t>
      </w:r>
      <w:r>
        <w:rPr>
          <w:rFonts w:hint="eastAsia" w:ascii="Arial" w:hAnsi="Arial" w:cs="Arial"/>
          <w:b/>
          <w:sz w:val="24"/>
          <w:szCs w:val="24"/>
        </w:rPr>
        <w:t>R4-2504371</w:t>
      </w:r>
      <w:bookmarkStart w:id="12" w:name="_GoBack"/>
      <w:bookmarkEnd w:id="12"/>
      <w:r>
        <w:rPr>
          <w:rFonts w:hint="eastAsia" w:ascii="Arial" w:hAnsi="Arial" w:cs="Arial"/>
          <w:b/>
          <w:sz w:val="24"/>
          <w:szCs w:val="24"/>
        </w:rPr>
        <w:t xml:space="preserve">                         </w:t>
      </w:r>
    </w:p>
    <w:p w14:paraId="37D1BBB1">
      <w:pPr>
        <w:tabs>
          <w:tab w:val="left" w:pos="1985"/>
        </w:tabs>
        <w:spacing w:after="180"/>
        <w:ind w:left="1980" w:hanging="1980"/>
        <w:rPr>
          <w:rFonts w:hint="eastAsia" w:ascii="Arial" w:hAnsi="Arial" w:cs="Arial"/>
          <w:b/>
          <w:sz w:val="24"/>
          <w:szCs w:val="24"/>
          <w:lang w:val="en-US" w:eastAsia="zh-CN"/>
        </w:rPr>
      </w:pPr>
      <w:r>
        <w:rPr>
          <w:rFonts w:hint="eastAsia" w:ascii="Arial" w:hAnsi="Arial" w:cs="Arial"/>
          <w:b/>
          <w:sz w:val="24"/>
          <w:szCs w:val="24"/>
          <w:lang w:val="en-US" w:eastAsia="zh-CN"/>
        </w:rPr>
        <w:t>Wuhan</w:t>
      </w:r>
      <w:r>
        <w:rPr>
          <w:rFonts w:ascii="Arial" w:hAnsi="Arial" w:cs="Arial"/>
          <w:b/>
          <w:sz w:val="24"/>
          <w:szCs w:val="24"/>
          <w:lang w:eastAsia="zh-CN"/>
        </w:rPr>
        <w:t xml:space="preserve">, </w:t>
      </w:r>
      <w:r>
        <w:rPr>
          <w:rFonts w:hint="eastAsia" w:ascii="Arial" w:hAnsi="Arial" w:cs="Arial"/>
          <w:b/>
          <w:sz w:val="24"/>
          <w:szCs w:val="24"/>
          <w:lang w:val="en-US" w:eastAsia="zh-CN"/>
        </w:rPr>
        <w:t>China</w:t>
      </w:r>
      <w:r>
        <w:rPr>
          <w:rFonts w:ascii="Arial" w:hAnsi="Arial" w:cs="Arial"/>
          <w:b/>
          <w:sz w:val="24"/>
          <w:szCs w:val="24"/>
          <w:lang w:eastAsia="zh-CN"/>
        </w:rPr>
        <w:t xml:space="preserve">, </w:t>
      </w:r>
      <w:r>
        <w:rPr>
          <w:rFonts w:hint="eastAsia" w:ascii="Arial" w:hAnsi="Arial" w:cs="Arial"/>
          <w:b/>
          <w:sz w:val="24"/>
          <w:szCs w:val="24"/>
          <w:lang w:val="en-US" w:eastAsia="zh-CN"/>
        </w:rPr>
        <w:t>07</w:t>
      </w:r>
      <w:r>
        <w:rPr>
          <w:rFonts w:hint="eastAsia" w:ascii="Arial" w:hAnsi="Arial" w:cs="Arial"/>
          <w:b/>
          <w:sz w:val="24"/>
          <w:szCs w:val="24"/>
          <w:vertAlign w:val="superscript"/>
          <w:lang w:val="en-US" w:eastAsia="zh-CN"/>
        </w:rPr>
        <w:t>t</w:t>
      </w:r>
      <w:r>
        <w:rPr>
          <w:rFonts w:ascii="Arial" w:hAnsi="Arial" w:cs="Arial"/>
          <w:b/>
          <w:sz w:val="24"/>
          <w:szCs w:val="24"/>
          <w:vertAlign w:val="superscript"/>
          <w:lang w:eastAsia="zh-CN"/>
        </w:rPr>
        <w:t>h</w:t>
      </w:r>
      <w:r>
        <w:rPr>
          <w:rFonts w:ascii="Arial" w:hAnsi="Arial" w:cs="Arial"/>
          <w:b/>
          <w:sz w:val="24"/>
          <w:szCs w:val="24"/>
          <w:lang w:eastAsia="zh-CN"/>
        </w:rPr>
        <w:t xml:space="preserve"> – </w:t>
      </w:r>
      <w:r>
        <w:rPr>
          <w:rFonts w:hint="eastAsia" w:ascii="Arial" w:hAnsi="Arial" w:cs="Arial"/>
          <w:b/>
          <w:sz w:val="24"/>
          <w:szCs w:val="24"/>
          <w:lang w:val="en-US" w:eastAsia="zh-CN"/>
        </w:rPr>
        <w:t>11</w:t>
      </w:r>
      <w:r>
        <w:rPr>
          <w:rFonts w:hint="eastAsia" w:ascii="Arial" w:hAnsi="Arial" w:cs="Arial"/>
          <w:b/>
          <w:sz w:val="24"/>
          <w:szCs w:val="24"/>
          <w:vertAlign w:val="superscript"/>
          <w:lang w:val="en-US" w:eastAsia="zh-CN"/>
        </w:rPr>
        <w:t>th</w:t>
      </w:r>
      <w:r>
        <w:rPr>
          <w:rFonts w:ascii="Arial" w:hAnsi="Arial" w:cs="Arial"/>
          <w:b/>
          <w:sz w:val="24"/>
          <w:szCs w:val="24"/>
          <w:lang w:eastAsia="zh-CN"/>
        </w:rPr>
        <w:t xml:space="preserve"> </w:t>
      </w:r>
      <w:r>
        <w:rPr>
          <w:rFonts w:hint="eastAsia" w:ascii="Arial" w:hAnsi="Arial" w:cs="Arial"/>
          <w:b/>
          <w:sz w:val="24"/>
          <w:szCs w:val="24"/>
          <w:lang w:val="en-US" w:eastAsia="zh-CN"/>
        </w:rPr>
        <w:t>April, 2025</w:t>
      </w:r>
    </w:p>
    <w:p w14:paraId="05F7C11A">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7.23.2.3</w:t>
      </w:r>
    </w:p>
    <w:p w14:paraId="0487BEE6">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14:paraId="0EDA1BA2">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Discussion on modification of existing Rx requirements for FR1 and FR2-1 for SBFD BS</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eastAsia="en-US"/>
        </w:rPr>
        <w:t xml:space="preserve"> </w:t>
      </w:r>
    </w:p>
    <w:p w14:paraId="1962CF77">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14:paraId="6DBCD648">
      <w:pPr>
        <w:pStyle w:val="57"/>
        <w:tabs>
          <w:tab w:val="left" w:pos="567"/>
          <w:tab w:val="clear" w:pos="1985"/>
        </w:tabs>
        <w:adjustRightInd w:val="0"/>
        <w:ind w:left="510" w:hanging="510"/>
      </w:pPr>
      <w:r>
        <w:t>Introduction</w:t>
      </w:r>
    </w:p>
    <w:p w14:paraId="7FBECC29">
      <w:pPr>
        <w:tabs>
          <w:tab w:val="left" w:pos="2127"/>
        </w:tabs>
        <w:spacing w:after="0"/>
        <w:rPr>
          <w:rStyle w:val="30"/>
          <w:rFonts w:hint="eastAsia" w:cs="Times New Roman"/>
          <w:color w:val="auto"/>
          <w:sz w:val="21"/>
          <w:szCs w:val="21"/>
          <w:shd w:val="clear" w:color="auto" w:fill="FFFFFF"/>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3CE70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49EAF581">
            <w:pPr>
              <w:pStyle w:val="2"/>
              <w:keepLines w:val="0"/>
              <w:suppressLineNumbers w:val="0"/>
              <w:spacing w:beforeAutospacing="0" w:after="360" w:afterAutospacing="0"/>
              <w:ind w:left="0" w:right="0"/>
              <w:rPr>
                <w:rFonts w:hint="default"/>
                <w:sz w:val="24"/>
              </w:rPr>
            </w:pPr>
            <w:r>
              <w:rPr>
                <w:rFonts w:hint="default"/>
                <w:sz w:val="24"/>
                <w:lang w:val="en-US"/>
              </w:rPr>
              <w:t>Issue 1:</w:t>
            </w:r>
            <w:r>
              <w:rPr>
                <w:rFonts w:hint="default"/>
              </w:rPr>
              <w:t xml:space="preserve"> </w:t>
            </w:r>
            <w:r>
              <w:rPr>
                <w:rFonts w:hint="default"/>
                <w:sz w:val="24"/>
                <w:lang w:val="en-US"/>
              </w:rPr>
              <w:t>Joint measurement for normal DL symbols/slots and SBFD symbols/slots</w:t>
            </w:r>
          </w:p>
          <w:p w14:paraId="4F2D8359">
            <w:pPr>
              <w:keepNext w:val="0"/>
              <w:keepLines w:val="0"/>
              <w:suppressLineNumbers w:val="0"/>
              <w:spacing w:before="0" w:beforeAutospacing="0" w:afterAutospacing="0"/>
              <w:ind w:left="0" w:right="0"/>
              <w:rPr>
                <w:rFonts w:hint="default" w:eastAsiaTheme="minorEastAsia"/>
                <w:b/>
                <w:bCs/>
              </w:rPr>
            </w:pPr>
            <w:r>
              <w:rPr>
                <w:rFonts w:hint="default" w:eastAsiaTheme="minorEastAsia"/>
                <w:b/>
                <w:bCs/>
              </w:rPr>
              <w:t xml:space="preserve">WF: </w:t>
            </w:r>
          </w:p>
          <w:p w14:paraId="45EE6746">
            <w:pPr>
              <w:pStyle w:val="36"/>
              <w:keepNext w:val="0"/>
              <w:keepLines w:val="0"/>
              <w:numPr>
                <w:ilvl w:val="0"/>
                <w:numId w:val="2"/>
              </w:numPr>
              <w:suppressLineNumbers w:val="0"/>
              <w:spacing w:before="0" w:beforeAutospacing="0" w:afterAutospacing="0"/>
              <w:ind w:right="0" w:firstLineChars="0"/>
              <w:rPr>
                <w:rFonts w:hint="default"/>
              </w:rPr>
            </w:pPr>
            <w:r>
              <w:rPr>
                <w:rFonts w:hint="default"/>
              </w:rPr>
              <w:t>Separate testing for SBFD slot and non-SBFD slot, with the consideration to try to adopt slot-level for the test granularity.</w:t>
            </w:r>
          </w:p>
          <w:p w14:paraId="32C979B1">
            <w:pPr>
              <w:keepNext w:val="0"/>
              <w:keepLines w:val="0"/>
              <w:suppressLineNumbers w:val="0"/>
              <w:overflowPunct/>
              <w:autoSpaceDE/>
              <w:autoSpaceDN/>
              <w:adjustRightInd/>
              <w:spacing w:before="0" w:beforeAutospacing="0" w:after="120" w:afterAutospacing="0"/>
              <w:ind w:left="0" w:right="0"/>
              <w:textAlignment w:val="auto"/>
              <w:rPr>
                <w:rFonts w:hint="default" w:eastAsiaTheme="minorEastAsia"/>
                <w:highlight w:val="green"/>
                <w:lang w:val="en-US" w:eastAsia="zh-CN"/>
              </w:rPr>
            </w:pPr>
          </w:p>
          <w:p w14:paraId="258E0C35">
            <w:pPr>
              <w:pStyle w:val="2"/>
              <w:keepLines w:val="0"/>
              <w:suppressLineNumbers w:val="0"/>
              <w:spacing w:beforeAutospacing="0" w:afterAutospacing="0"/>
              <w:ind w:left="0" w:right="0"/>
              <w:rPr>
                <w:rFonts w:hint="default" w:eastAsiaTheme="minorEastAsia"/>
                <w:highlight w:val="green"/>
                <w:lang w:val="en-US" w:eastAsia="zh-CN"/>
              </w:rPr>
            </w:pPr>
            <w:r>
              <w:rPr>
                <w:rFonts w:hint="eastAsia"/>
                <w:sz w:val="24"/>
                <w:lang w:val="en-US"/>
              </w:rPr>
              <w:t>I</w:t>
            </w:r>
            <w:r>
              <w:rPr>
                <w:rFonts w:hint="default"/>
                <w:sz w:val="24"/>
                <w:lang w:val="en-US"/>
              </w:rPr>
              <w:t>ssue 2:  In-band blocking and additional emission</w:t>
            </w:r>
          </w:p>
          <w:p w14:paraId="45085EBC">
            <w:pPr>
              <w:keepNext w:val="0"/>
              <w:keepLines w:val="0"/>
              <w:suppressLineNumbers w:val="0"/>
              <w:spacing w:before="0" w:beforeAutospacing="0" w:afterAutospacing="0"/>
              <w:ind w:left="0" w:right="0"/>
              <w:rPr>
                <w:rFonts w:hint="default" w:eastAsiaTheme="minorEastAsia"/>
                <w:b/>
                <w:bCs/>
              </w:rPr>
            </w:pPr>
            <w:r>
              <w:rPr>
                <w:rFonts w:hint="default" w:eastAsiaTheme="minorEastAsia"/>
                <w:b/>
                <w:bCs/>
              </w:rPr>
              <w:t xml:space="preserve">WF: </w:t>
            </w:r>
          </w:p>
          <w:p w14:paraId="6D271FC5">
            <w:pPr>
              <w:pStyle w:val="36"/>
              <w:keepNext w:val="0"/>
              <w:keepLines w:val="0"/>
              <w:numPr>
                <w:ilvl w:val="0"/>
                <w:numId w:val="2"/>
              </w:numPr>
              <w:suppressLineNumbers w:val="0"/>
              <w:spacing w:before="0" w:beforeAutospacing="0" w:afterAutospacing="0"/>
              <w:ind w:right="0" w:firstLineChars="0"/>
              <w:rPr>
                <w:rFonts w:hint="default"/>
              </w:rPr>
            </w:pPr>
            <w:r>
              <w:rPr>
                <w:rFonts w:hint="default"/>
                <w:lang w:val="en-US"/>
              </w:rPr>
              <w:t xml:space="preserve">For FR2-1 WA SBFD BS, FFS re-use </w:t>
            </w:r>
            <w:r>
              <w:rPr>
                <w:rFonts w:hint="default"/>
              </w:rPr>
              <w:t>the current FR2-1 WA BS in-band blocking requirements.</w:t>
            </w:r>
          </w:p>
          <w:p w14:paraId="2E08ACBA">
            <w:pPr>
              <w:pStyle w:val="36"/>
              <w:keepNext w:val="0"/>
              <w:keepLines w:val="0"/>
              <w:numPr>
                <w:ilvl w:val="0"/>
                <w:numId w:val="2"/>
              </w:numPr>
              <w:suppressLineNumbers w:val="0"/>
              <w:spacing w:before="0" w:beforeAutospacing="0" w:afterAutospacing="0"/>
              <w:ind w:right="0" w:firstLineChars="0"/>
              <w:rPr>
                <w:rFonts w:hint="default"/>
              </w:rPr>
            </w:pPr>
            <w:r>
              <w:rPr>
                <w:rFonts w:hint="default"/>
                <w:lang w:val="en-US"/>
              </w:rPr>
              <w:t xml:space="preserve">For FR1 WA BS, define </w:t>
            </w:r>
            <w:r>
              <w:rPr>
                <w:rFonts w:hint="eastAsia" w:eastAsiaTheme="minorEastAsia"/>
                <w:lang w:val="en-US" w:eastAsia="zh-CN"/>
              </w:rPr>
              <w:t xml:space="preserve">the </w:t>
            </w:r>
            <w:r>
              <w:rPr>
                <w:rFonts w:hint="default"/>
                <w:lang w:val="en-US"/>
              </w:rPr>
              <w:t>in-band blocking requirement, FFS on following options. Other options are not precluded.</w:t>
            </w:r>
          </w:p>
          <w:p w14:paraId="10FAC1BB">
            <w:pPr>
              <w:pStyle w:val="36"/>
              <w:keepNext w:val="0"/>
              <w:keepLines w:val="0"/>
              <w:numPr>
                <w:ilvl w:val="1"/>
                <w:numId w:val="2"/>
              </w:numPr>
              <w:suppressLineNumbers w:val="0"/>
              <w:spacing w:before="0" w:beforeAutospacing="0" w:afterAutospacing="0"/>
              <w:ind w:right="0" w:firstLineChars="0"/>
              <w:rPr>
                <w:rFonts w:hint="default"/>
              </w:rPr>
            </w:pPr>
            <w:r>
              <w:rPr>
                <w:rFonts w:hint="default"/>
                <w:lang w:val="en-US"/>
              </w:rPr>
              <w:t xml:space="preserve">Option 1: Define the requirement by selecting one of the following grid-shift values. Additional </w:t>
            </w:r>
            <w:r>
              <w:rPr>
                <w:rFonts w:hint="default" w:eastAsia="宋体"/>
                <w:szCs w:val="24"/>
                <w:lang w:val="en-US" w:eastAsia="zh-CN"/>
              </w:rPr>
              <w:t>emission issue is not included in this release. If regulators make a decision to require SBFD on adjacent operators in a band, a future WI would address necessary emissions and blocking requirements for the SBFD-SBFD adjacent operator scenario</w:t>
            </w:r>
            <w:r>
              <w:rPr>
                <w:rFonts w:hint="default"/>
              </w:rPr>
              <w:t>.</w:t>
            </w:r>
          </w:p>
          <w:p w14:paraId="73F2F5BE">
            <w:pPr>
              <w:pStyle w:val="36"/>
              <w:keepNext w:val="0"/>
              <w:keepLines w:val="0"/>
              <w:numPr>
                <w:ilvl w:val="2"/>
                <w:numId w:val="2"/>
              </w:numPr>
              <w:suppressLineNumbers w:val="0"/>
              <w:spacing w:before="0" w:beforeAutospacing="0" w:afterAutospacing="0"/>
              <w:ind w:right="0" w:firstLineChars="0"/>
              <w:rPr>
                <w:rFonts w:hint="default"/>
              </w:rPr>
            </w:pPr>
            <w:r>
              <w:rPr>
                <w:rFonts w:hint="default" w:eastAsiaTheme="minorEastAsia"/>
                <w:lang w:val="en-US" w:eastAsia="zh-CN"/>
              </w:rPr>
              <w:t>Option A: 20%</w:t>
            </w:r>
          </w:p>
          <w:p w14:paraId="66054387">
            <w:pPr>
              <w:pStyle w:val="36"/>
              <w:keepNext w:val="0"/>
              <w:keepLines w:val="0"/>
              <w:numPr>
                <w:ilvl w:val="2"/>
                <w:numId w:val="2"/>
              </w:numPr>
              <w:suppressLineNumbers w:val="0"/>
              <w:spacing w:before="0" w:beforeAutospacing="0" w:afterAutospacing="0"/>
              <w:ind w:right="0" w:firstLineChars="0"/>
              <w:rPr>
                <w:rFonts w:hint="default"/>
              </w:rPr>
            </w:pPr>
            <w:r>
              <w:rPr>
                <w:rFonts w:hint="default" w:eastAsiaTheme="minorEastAsia"/>
                <w:lang w:val="en-US" w:eastAsia="zh-CN"/>
              </w:rPr>
              <w:t>Option B: 50%</w:t>
            </w:r>
          </w:p>
          <w:p w14:paraId="081A310F">
            <w:pPr>
              <w:pStyle w:val="36"/>
              <w:keepNext w:val="0"/>
              <w:keepLines w:val="0"/>
              <w:numPr>
                <w:ilvl w:val="1"/>
                <w:numId w:val="2"/>
              </w:numPr>
              <w:suppressLineNumbers w:val="0"/>
              <w:spacing w:before="0" w:beforeAutospacing="0" w:afterAutospacing="0"/>
              <w:ind w:right="0" w:firstLineChars="0"/>
              <w:rPr>
                <w:rFonts w:hint="default"/>
              </w:rPr>
            </w:pPr>
            <w:r>
              <w:rPr>
                <w:rFonts w:hint="default"/>
                <w:lang w:val="en-US"/>
              </w:rPr>
              <w:t>Option 2: Define general requirements for SBFD-TDD adjacent operator scenario. Define a</w:t>
            </w:r>
            <w:r>
              <w:rPr>
                <w:rFonts w:hint="eastAsia" w:eastAsiaTheme="minorEastAsia"/>
                <w:lang w:val="en-US" w:eastAsia="zh-CN"/>
              </w:rPr>
              <w:t>n</w:t>
            </w:r>
            <w:r>
              <w:rPr>
                <w:rFonts w:hint="default"/>
                <w:lang w:val="en-US"/>
              </w:rPr>
              <w:t xml:space="preserve"> </w:t>
            </w:r>
            <w:r>
              <w:rPr>
                <w:rFonts w:hint="eastAsia" w:eastAsiaTheme="minorEastAsia"/>
                <w:lang w:val="en-US" w:eastAsia="zh-CN"/>
              </w:rPr>
              <w:t>additional</w:t>
            </w:r>
            <w:r>
              <w:rPr>
                <w:rFonts w:hint="default"/>
                <w:lang w:val="en-US"/>
              </w:rPr>
              <w:t xml:space="preserve"> in-band blocking requirement and additional emission to address SBFD-SBFD adjacent operator scenario.</w:t>
            </w:r>
          </w:p>
          <w:p w14:paraId="6DD93617">
            <w:pPr>
              <w:pStyle w:val="36"/>
              <w:keepNext w:val="0"/>
              <w:keepLines w:val="0"/>
              <w:numPr>
                <w:ilvl w:val="1"/>
                <w:numId w:val="2"/>
              </w:numPr>
              <w:suppressLineNumbers w:val="0"/>
              <w:spacing w:before="0" w:beforeAutospacing="0" w:afterAutospacing="0"/>
              <w:ind w:right="0" w:firstLineChars="0"/>
              <w:rPr>
                <w:rFonts w:hint="default"/>
              </w:rPr>
            </w:pPr>
            <w:r>
              <w:rPr>
                <w:rFonts w:hint="default"/>
                <w:lang w:val="en-US"/>
              </w:rPr>
              <w:t>Option 3: Define in-band blocking requirements based on co-existence simulation results with grid-shift 5%.</w:t>
            </w:r>
          </w:p>
          <w:p w14:paraId="34F97AEB">
            <w:pPr>
              <w:pStyle w:val="36"/>
              <w:keepNext w:val="0"/>
              <w:keepLines w:val="0"/>
              <w:numPr>
                <w:ilvl w:val="1"/>
                <w:numId w:val="2"/>
              </w:numPr>
              <w:suppressLineNumbers w:val="0"/>
              <w:spacing w:before="0" w:beforeAutospacing="0" w:afterAutospacing="0"/>
              <w:ind w:right="0" w:firstLineChars="0"/>
              <w:rPr>
                <w:rFonts w:hint="default"/>
              </w:rPr>
            </w:pPr>
            <w:r>
              <w:rPr>
                <w:rFonts w:hint="eastAsia" w:eastAsiaTheme="minorEastAsia"/>
                <w:lang w:eastAsia="zh-CN"/>
              </w:rPr>
              <w:t xml:space="preserve">Option 4: </w:t>
            </w:r>
            <w:r>
              <w:rPr>
                <w:rFonts w:hint="default"/>
                <w:lang w:val="en-US"/>
              </w:rPr>
              <w:t xml:space="preserve">Define in-band blocking requirements based on co-existence simulation results with grid-shift </w:t>
            </w:r>
            <w:r>
              <w:rPr>
                <w:rFonts w:hint="eastAsia" w:eastAsiaTheme="minorEastAsia"/>
                <w:lang w:val="en-US" w:eastAsia="zh-CN"/>
              </w:rPr>
              <w:t>100</w:t>
            </w:r>
            <w:r>
              <w:rPr>
                <w:rFonts w:hint="default"/>
                <w:lang w:val="en-US"/>
              </w:rPr>
              <w:t>%.</w:t>
            </w:r>
          </w:p>
          <w:p w14:paraId="605DC86D">
            <w:pPr>
              <w:pStyle w:val="36"/>
              <w:keepNext w:val="0"/>
              <w:keepLines w:val="0"/>
              <w:numPr>
                <w:ilvl w:val="0"/>
                <w:numId w:val="2"/>
              </w:numPr>
              <w:suppressLineNumbers w:val="0"/>
              <w:spacing w:before="0" w:beforeAutospacing="0" w:afterAutospacing="0"/>
              <w:ind w:right="0" w:firstLineChars="0"/>
              <w:rPr>
                <w:rFonts w:hint="default"/>
              </w:rPr>
            </w:pPr>
            <w:r>
              <w:rPr>
                <w:rFonts w:hint="default"/>
                <w:lang w:val="en-US"/>
              </w:rPr>
              <w:t>For FR1 MR SBFD BS, FFS.</w:t>
            </w:r>
          </w:p>
          <w:p w14:paraId="2696787B">
            <w:pPr>
              <w:keepNext w:val="0"/>
              <w:keepLines w:val="0"/>
              <w:suppressLineNumbers w:val="0"/>
              <w:overflowPunct/>
              <w:autoSpaceDE/>
              <w:autoSpaceDN/>
              <w:adjustRightInd/>
              <w:spacing w:before="0" w:beforeAutospacing="0" w:after="120" w:afterAutospacing="0"/>
              <w:ind w:left="0" w:right="0"/>
              <w:textAlignment w:val="auto"/>
              <w:rPr>
                <w:rFonts w:hint="default" w:eastAsiaTheme="minorEastAsia"/>
                <w:highlight w:val="green"/>
                <w:lang w:val="en-US" w:eastAsia="zh-CN"/>
              </w:rPr>
            </w:pPr>
          </w:p>
          <w:p w14:paraId="75ECBE61">
            <w:pPr>
              <w:pStyle w:val="2"/>
              <w:keepLines w:val="0"/>
              <w:suppressLineNumbers w:val="0"/>
              <w:spacing w:beforeAutospacing="0" w:afterAutospacing="0"/>
              <w:ind w:left="0" w:right="0"/>
              <w:rPr>
                <w:rFonts w:hint="default" w:eastAsiaTheme="minorEastAsia"/>
                <w:highlight w:val="green"/>
                <w:lang w:val="en-US" w:eastAsia="zh-CN"/>
              </w:rPr>
            </w:pPr>
            <w:r>
              <w:rPr>
                <w:rFonts w:hint="eastAsia"/>
                <w:sz w:val="24"/>
                <w:lang w:val="en-US"/>
              </w:rPr>
              <w:t>I</w:t>
            </w:r>
            <w:r>
              <w:rPr>
                <w:rFonts w:hint="default"/>
                <w:sz w:val="24"/>
                <w:lang w:val="en-US"/>
              </w:rPr>
              <w:t>ssue 3:  Dynamic range requirement</w:t>
            </w:r>
          </w:p>
          <w:p w14:paraId="719491A3">
            <w:pPr>
              <w:keepNext w:val="0"/>
              <w:keepLines w:val="0"/>
              <w:suppressLineNumbers w:val="0"/>
              <w:spacing w:before="0" w:beforeAutospacing="0" w:afterAutospacing="0"/>
              <w:ind w:left="0" w:right="0"/>
              <w:rPr>
                <w:rFonts w:hint="default" w:eastAsiaTheme="minorEastAsia"/>
                <w:b/>
                <w:bCs/>
              </w:rPr>
            </w:pPr>
            <w:r>
              <w:rPr>
                <w:rFonts w:hint="default" w:eastAsiaTheme="minorEastAsia"/>
                <w:b/>
                <w:bCs/>
              </w:rPr>
              <w:t xml:space="preserve">WF: </w:t>
            </w:r>
          </w:p>
          <w:p w14:paraId="6BA41937">
            <w:pPr>
              <w:pStyle w:val="36"/>
              <w:keepNext w:val="0"/>
              <w:keepLines w:val="0"/>
              <w:numPr>
                <w:ilvl w:val="0"/>
                <w:numId w:val="2"/>
              </w:numPr>
              <w:suppressLineNumbers w:val="0"/>
              <w:spacing w:before="0" w:beforeAutospacing="0" w:afterAutospacing="0"/>
              <w:ind w:right="0" w:firstLineChars="0"/>
              <w:rPr>
                <w:rFonts w:hint="default"/>
              </w:rPr>
            </w:pPr>
            <w:r>
              <w:rPr>
                <w:rFonts w:hint="default" w:eastAsia="宋体"/>
                <w:szCs w:val="24"/>
                <w:lang w:eastAsia="zh-CN"/>
              </w:rPr>
              <w:t>The dynamic range requirements of FR1 can reuse existing requirement.</w:t>
            </w:r>
          </w:p>
          <w:p w14:paraId="11684EB1">
            <w:pPr>
              <w:pStyle w:val="36"/>
              <w:keepNext w:val="0"/>
              <w:keepLines w:val="0"/>
              <w:numPr>
                <w:ilvl w:val="0"/>
                <w:numId w:val="2"/>
              </w:numPr>
              <w:suppressLineNumbers w:val="0"/>
              <w:spacing w:before="0" w:beforeAutospacing="0" w:afterAutospacing="0"/>
              <w:ind w:right="0" w:firstLineChars="0"/>
              <w:rPr>
                <w:rFonts w:hint="default"/>
              </w:rPr>
            </w:pPr>
            <w:r>
              <w:rPr>
                <w:rFonts w:hint="default"/>
                <w:lang w:val="en-US"/>
              </w:rPr>
              <w:t>For FR2, no dynamic range requirement is needed.</w:t>
            </w:r>
          </w:p>
          <w:p w14:paraId="068A1B47">
            <w:pPr>
              <w:keepNext w:val="0"/>
              <w:keepLines w:val="0"/>
              <w:suppressLineNumbers w:val="0"/>
              <w:overflowPunct/>
              <w:autoSpaceDE/>
              <w:autoSpaceDN/>
              <w:adjustRightInd/>
              <w:spacing w:before="0" w:beforeAutospacing="0" w:after="120" w:afterAutospacing="0"/>
              <w:ind w:left="0" w:right="0"/>
              <w:textAlignment w:val="auto"/>
              <w:rPr>
                <w:rFonts w:hint="default" w:eastAsiaTheme="minorEastAsia"/>
                <w:highlight w:val="green"/>
                <w:lang w:val="en-US" w:eastAsia="zh-CN"/>
              </w:rPr>
            </w:pPr>
          </w:p>
          <w:p w14:paraId="2928CD4F">
            <w:pPr>
              <w:pStyle w:val="2"/>
              <w:keepLines w:val="0"/>
              <w:suppressLineNumbers w:val="0"/>
              <w:spacing w:beforeAutospacing="0" w:afterAutospacing="0"/>
              <w:ind w:left="0" w:right="0"/>
              <w:rPr>
                <w:rFonts w:hint="default" w:eastAsiaTheme="minorEastAsia"/>
                <w:highlight w:val="green"/>
                <w:lang w:val="en-US" w:eastAsia="zh-CN"/>
              </w:rPr>
            </w:pPr>
            <w:r>
              <w:rPr>
                <w:rFonts w:hint="eastAsia"/>
                <w:sz w:val="24"/>
                <w:lang w:val="en-US"/>
              </w:rPr>
              <w:t>I</w:t>
            </w:r>
            <w:r>
              <w:rPr>
                <w:rFonts w:hint="default"/>
                <w:sz w:val="24"/>
                <w:lang w:val="en-US"/>
              </w:rPr>
              <w:t>ssue 4:  ACS requirement</w:t>
            </w:r>
          </w:p>
          <w:p w14:paraId="1D5916A9">
            <w:pPr>
              <w:keepNext w:val="0"/>
              <w:keepLines w:val="0"/>
              <w:suppressLineNumbers w:val="0"/>
              <w:spacing w:before="0" w:beforeAutospacing="0" w:afterAutospacing="0"/>
              <w:ind w:left="0" w:right="0"/>
              <w:rPr>
                <w:rFonts w:hint="default" w:eastAsiaTheme="minorEastAsia"/>
                <w:b/>
                <w:bCs/>
              </w:rPr>
            </w:pPr>
            <w:r>
              <w:rPr>
                <w:rFonts w:hint="default" w:eastAsiaTheme="minorEastAsia"/>
                <w:b/>
                <w:bCs/>
              </w:rPr>
              <w:t xml:space="preserve">WF: </w:t>
            </w:r>
          </w:p>
          <w:p w14:paraId="7DC70564">
            <w:pPr>
              <w:pStyle w:val="36"/>
              <w:keepNext w:val="0"/>
              <w:keepLines w:val="0"/>
              <w:numPr>
                <w:ilvl w:val="0"/>
                <w:numId w:val="2"/>
              </w:numPr>
              <w:suppressLineNumbers w:val="0"/>
              <w:spacing w:before="0" w:beforeAutospacing="0" w:afterAutospacing="0"/>
              <w:ind w:right="0" w:firstLineChars="0"/>
              <w:rPr>
                <w:rFonts w:hint="default"/>
              </w:rPr>
            </w:pPr>
            <w:r>
              <w:rPr>
                <w:rFonts w:hint="default" w:eastAsia="宋体"/>
                <w:szCs w:val="24"/>
                <w:lang w:eastAsia="zh-CN"/>
              </w:rPr>
              <w:t>FFS on the following proposals.</w:t>
            </w:r>
          </w:p>
          <w:p w14:paraId="72216EF1">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default" w:eastAsia="宋体"/>
                <w:szCs w:val="24"/>
                <w:lang w:eastAsia="zh-CN"/>
              </w:rPr>
              <w:t>Proposal 1: Prioritize discussing the scenarios under non-colocation case first.</w:t>
            </w:r>
          </w:p>
          <w:p w14:paraId="07A9FF00">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default" w:eastAsia="宋体"/>
                <w:szCs w:val="24"/>
                <w:lang w:eastAsia="zh-CN"/>
              </w:rPr>
              <w:t>Proposal</w:t>
            </w:r>
            <w:r>
              <w:rPr>
                <w:rFonts w:hint="eastAsia" w:eastAsia="宋体"/>
                <w:szCs w:val="24"/>
                <w:lang w:eastAsia="zh-CN"/>
              </w:rPr>
              <w:t xml:space="preserve"> </w:t>
            </w:r>
            <w:r>
              <w:rPr>
                <w:rFonts w:hint="default" w:eastAsia="宋体"/>
                <w:szCs w:val="24"/>
                <w:lang w:eastAsia="zh-CN"/>
              </w:rPr>
              <w:t>2</w:t>
            </w:r>
            <w:r>
              <w:rPr>
                <w:rFonts w:hint="eastAsia" w:eastAsia="宋体"/>
                <w:szCs w:val="24"/>
                <w:lang w:eastAsia="zh-CN"/>
              </w:rPr>
              <w:t xml:space="preserve">: </w:t>
            </w:r>
            <w:r>
              <w:rPr>
                <w:rFonts w:hint="default" w:eastAsia="宋体"/>
                <w:szCs w:val="24"/>
                <w:lang w:eastAsia="zh-CN"/>
              </w:rPr>
              <w:t>The same definition of ACS could be reused for SBFD, and the interference level of [9] dB offset should be further checked</w:t>
            </w:r>
            <w:r>
              <w:rPr>
                <w:rFonts w:hint="eastAsia" w:eastAsia="宋体"/>
                <w:szCs w:val="24"/>
                <w:lang w:eastAsia="zh-CN"/>
              </w:rPr>
              <w:t>.</w:t>
            </w:r>
          </w:p>
          <w:p w14:paraId="1FA868C3">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eastAsia" w:eastAsia="宋体"/>
                <w:szCs w:val="24"/>
                <w:lang w:eastAsia="zh-CN"/>
              </w:rPr>
              <w:t>P</w:t>
            </w:r>
            <w:r>
              <w:rPr>
                <w:rFonts w:hint="default" w:eastAsia="宋体"/>
                <w:szCs w:val="24"/>
                <w:lang w:eastAsia="zh-CN"/>
              </w:rPr>
              <w:t>roposal 3: The definition of ACS is reused for SBFD. The interference level keeps 9 dB offset to the general in-band blocking interference level defined for SBFD.</w:t>
            </w:r>
          </w:p>
          <w:p w14:paraId="1AC7B870">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eastAsia" w:eastAsia="宋体"/>
                <w:szCs w:val="24"/>
                <w:lang w:eastAsia="zh-CN"/>
              </w:rPr>
              <w:t>P</w:t>
            </w:r>
            <w:r>
              <w:rPr>
                <w:rFonts w:hint="default" w:eastAsia="宋体"/>
                <w:szCs w:val="24"/>
                <w:lang w:eastAsia="zh-CN"/>
              </w:rPr>
              <w:t xml:space="preserve">roposal 4: </w:t>
            </w:r>
            <w:r>
              <w:rPr>
                <w:rFonts w:hint="default"/>
                <w:color w:val="000000" w:themeColor="text1"/>
                <w14:textFill>
                  <w14:solidFill>
                    <w14:schemeClr w14:val="tx1"/>
                  </w14:solidFill>
                </w14:textFill>
              </w:rPr>
              <w:t>It is needed to determine whether interference signal level of BS to BS can be defined as ACS interference signal level.</w:t>
            </w:r>
          </w:p>
          <w:p w14:paraId="7AFB71FB">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bookmarkStart w:id="1" w:name="_Toc181956193"/>
            <w:r>
              <w:rPr>
                <w:rFonts w:hint="eastAsia" w:eastAsia="宋体"/>
                <w:szCs w:val="24"/>
                <w:lang w:eastAsia="zh-CN"/>
              </w:rPr>
              <w:t>P</w:t>
            </w:r>
            <w:r>
              <w:rPr>
                <w:rFonts w:hint="default" w:eastAsia="宋体"/>
                <w:szCs w:val="24"/>
                <w:lang w:eastAsia="zh-CN"/>
              </w:rPr>
              <w:t xml:space="preserve">roposal 5: </w:t>
            </w:r>
            <w:r>
              <w:rPr>
                <w:rFonts w:hint="default"/>
                <w:lang w:eastAsia="ja-JP"/>
              </w:rPr>
              <w:t>The requirement level of ACS should be derived from the BS-BS co-existence simulation results obtained in SI, instead of keeping 9 dB offset to the general in-band blocking interference level defined for SBFD</w:t>
            </w:r>
            <w:r>
              <w:rPr>
                <w:rFonts w:hint="default" w:eastAsiaTheme="minorEastAsia"/>
              </w:rPr>
              <w:t>.</w:t>
            </w:r>
            <w:bookmarkEnd w:id="1"/>
          </w:p>
          <w:p w14:paraId="1B50AD76">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eastAsia" w:eastAsia="宋体"/>
                <w:szCs w:val="24"/>
                <w:lang w:eastAsia="zh-CN"/>
              </w:rPr>
              <w:t>P</w:t>
            </w:r>
            <w:r>
              <w:rPr>
                <w:rFonts w:hint="default" w:eastAsia="宋体"/>
                <w:szCs w:val="24"/>
                <w:lang w:eastAsia="zh-CN"/>
              </w:rPr>
              <w:t xml:space="preserve">roposal 6: </w:t>
            </w:r>
            <w:bookmarkStart w:id="2" w:name="_Toc189813542"/>
            <w:r>
              <w:rPr>
                <w:rFonts w:hint="default"/>
                <w:lang w:eastAsia="ja-JP"/>
              </w:rPr>
              <w:t>Derive ACS requirement level based on the simulation results using 5% GS in SI</w:t>
            </w:r>
            <w:bookmarkEnd w:id="2"/>
            <w:r>
              <w:rPr>
                <w:rFonts w:hint="default" w:eastAsiaTheme="minorEastAsia"/>
              </w:rPr>
              <w:t>.</w:t>
            </w:r>
          </w:p>
          <w:p w14:paraId="011B4457">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eastAsia" w:eastAsia="宋体"/>
                <w:szCs w:val="24"/>
                <w:lang w:eastAsia="zh-CN"/>
              </w:rPr>
              <w:t>P</w:t>
            </w:r>
            <w:r>
              <w:rPr>
                <w:rFonts w:hint="default" w:eastAsia="宋体"/>
                <w:szCs w:val="24"/>
                <w:lang w:eastAsia="zh-CN"/>
              </w:rPr>
              <w:t>roposal 7:</w:t>
            </w:r>
            <w:r>
              <w:rPr>
                <w:rFonts w:hint="default"/>
              </w:rPr>
              <w:t xml:space="preserve"> </w:t>
            </w:r>
            <w:r>
              <w:rPr>
                <w:rFonts w:hint="default" w:eastAsia="宋体"/>
                <w:szCs w:val="24"/>
                <w:lang w:eastAsia="zh-CN"/>
              </w:rPr>
              <w:t>The OTA sensitivity degradation should be taken into account for the baseline REFSENS for OTA ACS requirement and should not be taken into account when testing conducted ACS.</w:t>
            </w:r>
          </w:p>
          <w:p w14:paraId="61F9045A">
            <w:pPr>
              <w:keepNext w:val="0"/>
              <w:keepLines w:val="0"/>
              <w:suppressLineNumbers w:val="0"/>
              <w:overflowPunct/>
              <w:autoSpaceDE/>
              <w:autoSpaceDN/>
              <w:adjustRightInd/>
              <w:spacing w:before="0" w:beforeAutospacing="0" w:after="120" w:afterAutospacing="0"/>
              <w:ind w:left="0" w:right="0"/>
              <w:textAlignment w:val="auto"/>
              <w:rPr>
                <w:rFonts w:hint="default" w:eastAsiaTheme="minorEastAsia"/>
                <w:highlight w:val="green"/>
                <w:lang w:val="en-US" w:eastAsia="zh-CN"/>
              </w:rPr>
            </w:pPr>
          </w:p>
          <w:p w14:paraId="34603093">
            <w:pPr>
              <w:pStyle w:val="2"/>
              <w:keepLines w:val="0"/>
              <w:suppressLineNumbers w:val="0"/>
              <w:spacing w:beforeAutospacing="0" w:afterAutospacing="0"/>
              <w:ind w:left="0" w:right="0"/>
              <w:rPr>
                <w:rFonts w:hint="default"/>
                <w:lang w:val="en-US"/>
              </w:rPr>
            </w:pPr>
            <w:r>
              <w:rPr>
                <w:rFonts w:hint="eastAsia"/>
                <w:sz w:val="24"/>
                <w:lang w:val="en-US"/>
              </w:rPr>
              <w:t>I</w:t>
            </w:r>
            <w:r>
              <w:rPr>
                <w:rFonts w:hint="default"/>
                <w:sz w:val="24"/>
                <w:lang w:val="en-US"/>
              </w:rPr>
              <w:t>ssue 5:  Necessity of New RX intermodulation requirement with 1 interfering signal</w:t>
            </w:r>
          </w:p>
          <w:p w14:paraId="69343EF5">
            <w:pPr>
              <w:keepNext w:val="0"/>
              <w:keepLines w:val="0"/>
              <w:suppressLineNumbers w:val="0"/>
              <w:spacing w:before="0" w:beforeAutospacing="0" w:afterAutospacing="0"/>
              <w:ind w:left="0" w:right="0"/>
              <w:rPr>
                <w:rFonts w:hint="default" w:eastAsiaTheme="minorEastAsia"/>
                <w:b/>
                <w:bCs/>
              </w:rPr>
            </w:pPr>
            <w:r>
              <w:rPr>
                <w:rFonts w:hint="default" w:eastAsiaTheme="minorEastAsia"/>
                <w:b/>
                <w:bCs/>
              </w:rPr>
              <w:t xml:space="preserve">WF: </w:t>
            </w:r>
          </w:p>
          <w:p w14:paraId="146028C1">
            <w:pPr>
              <w:pStyle w:val="36"/>
              <w:keepNext w:val="0"/>
              <w:keepLines w:val="0"/>
              <w:numPr>
                <w:ilvl w:val="0"/>
                <w:numId w:val="2"/>
              </w:numPr>
              <w:suppressLineNumbers w:val="0"/>
              <w:spacing w:before="0" w:beforeAutospacing="0" w:afterAutospacing="0"/>
              <w:ind w:right="0" w:firstLineChars="0"/>
              <w:rPr>
                <w:rFonts w:hint="default"/>
              </w:rPr>
            </w:pPr>
            <w:r>
              <w:rPr>
                <w:rFonts w:hint="default" w:eastAsia="宋体"/>
                <w:szCs w:val="24"/>
                <w:lang w:eastAsia="zh-CN"/>
              </w:rPr>
              <w:t>FFS on the following options.</w:t>
            </w:r>
          </w:p>
          <w:p w14:paraId="33737D94">
            <w:pPr>
              <w:pStyle w:val="36"/>
              <w:keepNext w:val="0"/>
              <w:keepLines w:val="0"/>
              <w:numPr>
                <w:ilvl w:val="1"/>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Option 1: IMD requirement for single interfering signal scenario is not needed. </w:t>
            </w:r>
            <w:bookmarkStart w:id="3" w:name="_Toc173767416"/>
            <w:bookmarkStart w:id="4" w:name="_Toc163122037"/>
            <w:bookmarkStart w:id="5" w:name="_Toc142657559"/>
            <w:bookmarkStart w:id="6" w:name="_Toc163121804"/>
            <w:r>
              <w:rPr>
                <w:rFonts w:hint="default"/>
              </w:rPr>
              <w:t>Such a requirement is implicitly captured by the SBFD RX blocking requirement.</w:t>
            </w:r>
            <w:bookmarkEnd w:id="3"/>
            <w:bookmarkEnd w:id="4"/>
            <w:bookmarkEnd w:id="5"/>
            <w:bookmarkEnd w:id="6"/>
          </w:p>
          <w:p w14:paraId="7CAD3B13">
            <w:pPr>
              <w:pStyle w:val="36"/>
              <w:keepNext w:val="0"/>
              <w:keepLines w:val="0"/>
              <w:numPr>
                <w:ilvl w:val="1"/>
                <w:numId w:val="2"/>
              </w:numPr>
              <w:suppressLineNumbers w:val="0"/>
              <w:spacing w:before="0" w:beforeAutospacing="0" w:after="120" w:afterAutospacing="0" w:line="259" w:lineRule="auto"/>
              <w:ind w:right="0" w:firstLineChars="0"/>
              <w:rPr>
                <w:rFonts w:hint="default" w:eastAsiaTheme="minorEastAsia"/>
                <w:highlight w:val="green"/>
                <w:lang w:val="en-US" w:eastAsia="zh-CN"/>
              </w:rPr>
            </w:pPr>
            <w:r>
              <w:rPr>
                <w:rFonts w:hint="default" w:eastAsia="宋体"/>
                <w:szCs w:val="24"/>
                <w:lang w:eastAsia="zh-CN"/>
              </w:rPr>
              <w:t>Option 2:</w:t>
            </w:r>
            <w:r>
              <w:rPr>
                <w:rFonts w:hint="default"/>
              </w:rPr>
              <w:t xml:space="preserve"> RAN4 to consider adjusting current RX IMD requirement with interfering signals mean power levels and frequencies.</w:t>
            </w:r>
          </w:p>
          <w:p w14:paraId="6964D44C">
            <w:pPr>
              <w:pStyle w:val="2"/>
              <w:keepLines w:val="0"/>
              <w:suppressLineNumbers w:val="0"/>
              <w:spacing w:beforeAutospacing="0" w:afterAutospacing="0"/>
              <w:ind w:left="0" w:right="0"/>
              <w:rPr>
                <w:rFonts w:hint="default"/>
                <w:sz w:val="24"/>
                <w:lang w:val="en-US"/>
              </w:rPr>
            </w:pPr>
            <w:r>
              <w:rPr>
                <w:rFonts w:hint="eastAsia"/>
                <w:sz w:val="24"/>
                <w:lang w:val="en-US"/>
              </w:rPr>
              <w:t>I</w:t>
            </w:r>
            <w:r>
              <w:rPr>
                <w:rFonts w:hint="default"/>
                <w:sz w:val="24"/>
                <w:lang w:val="en-US"/>
              </w:rPr>
              <w:t>ssue 6:  Impact on existing RX intermodulation requirement with 2 interfering signals</w:t>
            </w:r>
          </w:p>
          <w:p w14:paraId="5C315FA5">
            <w:pPr>
              <w:keepNext w:val="0"/>
              <w:keepLines w:val="0"/>
              <w:suppressLineNumbers w:val="0"/>
              <w:spacing w:before="0" w:beforeAutospacing="0" w:afterAutospacing="0"/>
              <w:ind w:left="0" w:right="0"/>
              <w:rPr>
                <w:rFonts w:hint="default" w:eastAsiaTheme="minorEastAsia"/>
                <w:b/>
                <w:bCs/>
              </w:rPr>
            </w:pPr>
            <w:r>
              <w:rPr>
                <w:rFonts w:hint="default" w:eastAsiaTheme="minorEastAsia"/>
                <w:b/>
                <w:bCs/>
              </w:rPr>
              <w:t xml:space="preserve">WF: </w:t>
            </w:r>
          </w:p>
          <w:p w14:paraId="6D2F1654">
            <w:pPr>
              <w:pStyle w:val="36"/>
              <w:keepNext w:val="0"/>
              <w:keepLines w:val="0"/>
              <w:numPr>
                <w:ilvl w:val="0"/>
                <w:numId w:val="2"/>
              </w:numPr>
              <w:suppressLineNumbers w:val="0"/>
              <w:spacing w:before="0" w:beforeAutospacing="0" w:afterAutospacing="0"/>
              <w:ind w:right="0" w:firstLineChars="0"/>
              <w:rPr>
                <w:rFonts w:hint="default"/>
              </w:rPr>
            </w:pPr>
            <w:r>
              <w:rPr>
                <w:rFonts w:hint="default" w:eastAsia="宋体"/>
                <w:szCs w:val="24"/>
                <w:lang w:eastAsia="zh-CN"/>
              </w:rPr>
              <w:t>FFS on the following options.</w:t>
            </w:r>
          </w:p>
          <w:p w14:paraId="05A6523E">
            <w:pPr>
              <w:pStyle w:val="36"/>
              <w:keepNext w:val="0"/>
              <w:keepLines w:val="0"/>
              <w:numPr>
                <w:ilvl w:val="1"/>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val="en-US" w:eastAsia="zh-CN"/>
              </w:rPr>
              <w:t>Option</w:t>
            </w:r>
            <w:r>
              <w:rPr>
                <w:rFonts w:hint="default" w:eastAsia="宋体"/>
                <w:szCs w:val="24"/>
                <w:lang w:eastAsia="zh-CN"/>
              </w:rPr>
              <w:t xml:space="preserve"> 1: </w:t>
            </w:r>
          </w:p>
          <w:p w14:paraId="58ADB81D">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for the receiver intermodulation requirements, BS2BS CLI should be taken into account for power level for interference signal.</w:t>
            </w:r>
          </w:p>
          <w:p w14:paraId="1B7D1517">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eastAsia"/>
                <w:lang w:val="en-US" w:eastAsia="zh-CN"/>
              </w:rPr>
              <w:t>for receiver intermodulation requirements, consider IMD between CW/NBB/general intermodulation interfering signal intermodulate with SBFD DL transmission with some performance degradation on SBFD receiver</w:t>
            </w:r>
            <w:r>
              <w:rPr>
                <w:rFonts w:hint="default"/>
                <w:lang w:val="en-US" w:eastAsia="zh-CN"/>
              </w:rPr>
              <w:t>.</w:t>
            </w:r>
          </w:p>
          <w:p w14:paraId="729FB89C">
            <w:pPr>
              <w:pStyle w:val="36"/>
              <w:keepNext w:val="0"/>
              <w:keepLines w:val="0"/>
              <w:numPr>
                <w:ilvl w:val="1"/>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Option 2: new IMD requirement with 2 interfering signal scenario is not needed. </w:t>
            </w:r>
          </w:p>
          <w:p w14:paraId="747A3C78">
            <w:pPr>
              <w:pStyle w:val="36"/>
              <w:keepNext w:val="0"/>
              <w:keepLines w:val="0"/>
              <w:numPr>
                <w:ilvl w:val="1"/>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Option 3: </w:t>
            </w:r>
            <w:r>
              <w:rPr>
                <w:rFonts w:hint="default"/>
              </w:rPr>
              <w:t>RAN4 to consider new RX intermodulation requirement with 2 interfering signals. RAN4 to consider the three possibilities for RX IMD and choose the most challenging one to cover others.</w:t>
            </w:r>
          </w:p>
          <w:p w14:paraId="269506EE">
            <w:pPr>
              <w:pStyle w:val="36"/>
              <w:keepNext w:val="0"/>
              <w:keepLines w:val="0"/>
              <w:numPr>
                <w:ilvl w:val="1"/>
                <w:numId w:val="2"/>
              </w:numPr>
              <w:suppressLineNumbers w:val="0"/>
              <w:spacing w:before="0" w:beforeAutospacing="0" w:afterAutospacing="0"/>
              <w:ind w:right="0" w:firstLineChars="0"/>
              <w:rPr>
                <w:rStyle w:val="30"/>
                <w:rFonts w:hint="default" w:cs="Times New Roman"/>
                <w:color w:val="auto"/>
                <w:sz w:val="21"/>
                <w:szCs w:val="21"/>
                <w:shd w:val="clear" w:color="auto" w:fill="FFFFFF"/>
                <w:vertAlign w:val="baseline"/>
                <w:lang w:val="en-US" w:eastAsia="zh-CN"/>
              </w:rPr>
            </w:pPr>
            <w:r>
              <w:rPr>
                <w:rFonts w:hint="eastAsia" w:eastAsia="宋体"/>
                <w:szCs w:val="24"/>
                <w:lang w:eastAsia="zh-CN"/>
              </w:rPr>
              <w:t>O</w:t>
            </w:r>
            <w:r>
              <w:rPr>
                <w:rFonts w:hint="default" w:eastAsia="宋体"/>
                <w:szCs w:val="24"/>
                <w:lang w:eastAsia="zh-CN"/>
              </w:rPr>
              <w:t xml:space="preserve">ption 4: </w:t>
            </w:r>
            <w:bookmarkStart w:id="7" w:name="_Toc181956194"/>
            <w:r>
              <w:rPr>
                <w:rFonts w:hint="default"/>
                <w:lang w:eastAsia="ja-JP"/>
              </w:rPr>
              <w:t>The scenario for 2 input signals can be regarded as the worst case when setting requirement on receiver linearity</w:t>
            </w:r>
            <w:r>
              <w:rPr>
                <w:rFonts w:hint="default"/>
              </w:rPr>
              <w:t>.</w:t>
            </w:r>
            <w:bookmarkEnd w:id="7"/>
            <w:r>
              <w:rPr>
                <w:rFonts w:hint="default"/>
              </w:rPr>
              <w:t xml:space="preserve"> For RX IMD, the mean power of both CW and modulated interfering signals is [the final agreed in-band blocking level] – 9 dB.</w:t>
            </w:r>
          </w:p>
        </w:tc>
      </w:tr>
    </w:tbl>
    <w:p w14:paraId="1A0057DE">
      <w:pPr>
        <w:tabs>
          <w:tab w:val="left" w:pos="2127"/>
        </w:tabs>
        <w:spacing w:after="0"/>
        <w:rPr>
          <w:rStyle w:val="30"/>
          <w:rFonts w:hint="default" w:cs="Times New Roman"/>
          <w:color w:val="auto"/>
          <w:sz w:val="21"/>
          <w:szCs w:val="21"/>
          <w:shd w:val="clear" w:color="auto" w:fill="FFFFFF"/>
          <w:lang w:val="en-US" w:eastAsia="zh-CN"/>
        </w:rPr>
      </w:pPr>
    </w:p>
    <w:p w14:paraId="711771EC">
      <w:pPr>
        <w:pStyle w:val="57"/>
        <w:tabs>
          <w:tab w:val="left" w:pos="567"/>
          <w:tab w:val="clear" w:pos="1985"/>
        </w:tabs>
        <w:adjustRightInd w:val="0"/>
        <w:ind w:left="510" w:hanging="510"/>
        <w:rPr>
          <w:rFonts w:eastAsia="Times New Roman"/>
        </w:rPr>
      </w:pPr>
      <w:r>
        <w:rPr>
          <w:rFonts w:hint="eastAsia"/>
        </w:rPr>
        <w:t xml:space="preserve">Discussion </w:t>
      </w:r>
      <w:bookmarkStart w:id="8" w:name="OLE_LINK13"/>
      <w:bookmarkStart w:id="9" w:name="OLE_LINK10"/>
      <w:bookmarkStart w:id="10" w:name="OLE_LINK20"/>
      <w:bookmarkStart w:id="11" w:name="OLE_LINK14"/>
      <w:r>
        <w:rPr>
          <w:rFonts w:hint="eastAsia" w:eastAsia="Times New Roman"/>
        </w:rPr>
        <w:t xml:space="preserve"> </w:t>
      </w:r>
    </w:p>
    <w:bookmarkEnd w:id="8"/>
    <w:bookmarkEnd w:id="9"/>
    <w:bookmarkEnd w:id="10"/>
    <w:bookmarkEnd w:id="11"/>
    <w:p w14:paraId="12134D86">
      <w:pPr>
        <w:pStyle w:val="36"/>
        <w:spacing w:after="120" w:line="260" w:lineRule="auto"/>
        <w:ind w:firstLine="0" w:firstLineChars="0"/>
        <w:outlineLvl w:val="1"/>
        <w:rPr>
          <w:rFonts w:hint="default" w:eastAsia="宋体"/>
          <w:lang w:val="en-US" w:eastAsia="zh-CN"/>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Rx requirements</w:t>
      </w:r>
      <w:r>
        <w:rPr>
          <w:rFonts w:hint="eastAsia"/>
          <w:lang w:val="en-US" w:eastAsia="zh-CN"/>
        </w:rPr>
        <w:t xml:space="preserve"> </w:t>
      </w:r>
    </w:p>
    <w:p w14:paraId="01659EB4">
      <w:pPr>
        <w:pStyle w:val="36"/>
        <w:spacing w:after="120" w:line="260" w:lineRule="auto"/>
        <w:ind w:firstLine="0" w:firstLineChars="0"/>
        <w:outlineLvl w:val="2"/>
      </w:pPr>
      <w:r>
        <w:rPr>
          <w:rFonts w:hint="eastAsia"/>
        </w:rPr>
        <w:t>2.</w:t>
      </w:r>
      <w:r>
        <w:rPr>
          <w:rFonts w:hint="eastAsia"/>
          <w:lang w:val="en-US" w:eastAsia="zh-CN"/>
        </w:rPr>
        <w:t>1</w:t>
      </w:r>
      <w:r>
        <w:rPr>
          <w:rFonts w:hint="eastAsia"/>
        </w:rPr>
        <w:t>.</w:t>
      </w:r>
      <w:r>
        <w:rPr>
          <w:rFonts w:hint="eastAsia"/>
          <w:lang w:val="en-US" w:eastAsia="zh-CN"/>
        </w:rPr>
        <w:t>1</w:t>
      </w:r>
      <w:r>
        <w:rPr>
          <w:rFonts w:hint="eastAsia"/>
        </w:rPr>
        <w:t xml:space="preserve">. </w:t>
      </w:r>
      <w:r>
        <w:t>Receiver intermodulation</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5153B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6A510F08">
            <w:pPr>
              <w:keepNext w:val="0"/>
              <w:keepLines w:val="0"/>
              <w:suppressLineNumbers w:val="0"/>
              <w:spacing w:before="0" w:beforeAutospacing="0" w:afterAutospacing="0"/>
              <w:ind w:left="0" w:right="0"/>
              <w:jc w:val="both"/>
              <w:rPr>
                <w:rFonts w:hint="default"/>
                <w:b/>
                <w:sz w:val="24"/>
                <w:szCs w:val="24"/>
                <w:lang w:eastAsia="zh-CN"/>
              </w:rPr>
            </w:pPr>
            <w:r>
              <w:rPr>
                <w:rFonts w:hint="default"/>
                <w:b/>
                <w:sz w:val="24"/>
                <w:szCs w:val="24"/>
                <w:lang w:eastAsia="zh-CN"/>
              </w:rPr>
              <w:t xml:space="preserve">Agreement: </w:t>
            </w:r>
          </w:p>
          <w:p w14:paraId="43ADC70B">
            <w:pPr>
              <w:pStyle w:val="36"/>
              <w:keepNext w:val="0"/>
              <w:keepLines w:val="0"/>
              <w:numPr>
                <w:ilvl w:val="0"/>
                <w:numId w:val="3"/>
              </w:numPr>
              <w:suppressLineNumbers w:val="0"/>
              <w:spacing w:before="0" w:beforeAutospacing="0" w:afterAutospacing="0"/>
              <w:ind w:right="0" w:firstLineChars="0"/>
              <w:rPr>
                <w:rFonts w:hint="default"/>
                <w:sz w:val="24"/>
                <w:szCs w:val="24"/>
              </w:rPr>
            </w:pPr>
            <w:r>
              <w:rPr>
                <w:rFonts w:hint="default"/>
                <w:sz w:val="24"/>
                <w:szCs w:val="24"/>
              </w:rPr>
              <w:t>FFS on the following options:</w:t>
            </w:r>
          </w:p>
          <w:p w14:paraId="298CF699">
            <w:pPr>
              <w:pStyle w:val="36"/>
              <w:keepNext w:val="0"/>
              <w:keepLines w:val="0"/>
              <w:numPr>
                <w:ilvl w:val="1"/>
                <w:numId w:val="3"/>
              </w:numPr>
              <w:suppressLineNumbers w:val="0"/>
              <w:spacing w:before="0" w:beforeAutospacing="0" w:after="120" w:afterAutospacing="0" w:line="256" w:lineRule="auto"/>
              <w:ind w:right="0" w:firstLineChars="0"/>
              <w:textAlignment w:val="auto"/>
              <w:rPr>
                <w:rFonts w:hint="default"/>
                <w:sz w:val="24"/>
                <w:szCs w:val="24"/>
              </w:rPr>
            </w:pPr>
            <w:r>
              <w:rPr>
                <w:rFonts w:hint="default"/>
                <w:sz w:val="24"/>
                <w:szCs w:val="24"/>
              </w:rPr>
              <w:t>Option 1: IMD requirement for single interfering signal scenario is not needed. Such a requirement is implicitly captured by the SBFD RX blocking requirement.</w:t>
            </w:r>
          </w:p>
          <w:p w14:paraId="787FC90B">
            <w:pPr>
              <w:pStyle w:val="36"/>
              <w:keepNext w:val="0"/>
              <w:keepLines w:val="0"/>
              <w:numPr>
                <w:ilvl w:val="1"/>
                <w:numId w:val="3"/>
              </w:numPr>
              <w:suppressLineNumbers w:val="0"/>
              <w:spacing w:before="0" w:beforeAutospacing="0" w:after="120" w:afterAutospacing="0" w:line="256" w:lineRule="auto"/>
              <w:ind w:right="0" w:firstLineChars="0"/>
              <w:textAlignment w:val="auto"/>
              <w:rPr>
                <w:rFonts w:hint="eastAsia"/>
                <w:sz w:val="20"/>
                <w:szCs w:val="20"/>
                <w:vertAlign w:val="baseline"/>
              </w:rPr>
            </w:pPr>
            <w:r>
              <w:rPr>
                <w:rFonts w:hint="default"/>
                <w:sz w:val="24"/>
                <w:szCs w:val="24"/>
              </w:rPr>
              <w:t>Option 2: RAN4 to define new RX intermodulation scenario with self-interference and 1 interfering signal.</w:t>
            </w:r>
          </w:p>
        </w:tc>
      </w:tr>
    </w:tbl>
    <w:p w14:paraId="642D4B3C">
      <w:pPr>
        <w:pStyle w:val="36"/>
        <w:spacing w:after="120"/>
        <w:ind w:firstLine="0" w:firstLineChars="0"/>
        <w:rPr>
          <w:rFonts w:hint="eastAsia"/>
          <w:sz w:val="20"/>
          <w:szCs w:val="20"/>
        </w:rPr>
      </w:pPr>
      <w:r>
        <w:rPr>
          <w:rFonts w:hint="eastAsia"/>
          <w:lang w:val="en-US" w:eastAsia="zh-CN"/>
        </w:rPr>
        <w:t>Similar as receiver dynamic range requirement, for Rx IMD requirement, the BS2BS CLI should be also taken into account when specifying the power level for the interference signals.</w:t>
      </w:r>
    </w:p>
    <w:p w14:paraId="5C6A4B06">
      <w:pPr>
        <w:pStyle w:val="36"/>
        <w:spacing w:after="120"/>
        <w:ind w:firstLine="0" w:firstLineChars="0"/>
        <w:rPr>
          <w:sz w:val="20"/>
          <w:szCs w:val="20"/>
        </w:rPr>
      </w:pPr>
      <w:r>
        <w:rPr>
          <w:rFonts w:hint="eastAsia"/>
          <w:sz w:val="20"/>
          <w:szCs w:val="20"/>
        </w:rPr>
        <w:t>For the legacy/normal slot/symbols, the existing receiver intermodulation requirement in section 7.7.2 of TS 38.104 are still applicable.</w:t>
      </w:r>
    </w:p>
    <w:p w14:paraId="1E57745C">
      <w:pPr>
        <w:pStyle w:val="36"/>
        <w:spacing w:after="120"/>
        <w:ind w:firstLine="0" w:firstLineChars="0"/>
      </w:pPr>
      <w:r>
        <w:rPr>
          <w:rFonts w:hint="eastAsia"/>
          <w:sz w:val="20"/>
          <w:szCs w:val="20"/>
        </w:rPr>
        <w:t>For the SBFD slot/symbols, there might be some self interference and additional Rx intermodulation caused by downlink part especially when considering with CW signal or NBB or general Rx intermodulation signals configured during the Rx IMD test, therefore it</w:t>
      </w:r>
      <w:r>
        <w:rPr>
          <w:sz w:val="20"/>
          <w:szCs w:val="20"/>
        </w:rPr>
        <w:t>’</w:t>
      </w:r>
      <w:r>
        <w:rPr>
          <w:rFonts w:hint="eastAsia"/>
          <w:sz w:val="20"/>
          <w:szCs w:val="20"/>
        </w:rPr>
        <w:t>s suggested to have further study for it.</w:t>
      </w:r>
    </w:p>
    <w:p w14:paraId="74D23EF3">
      <w:pPr>
        <w:pStyle w:val="36"/>
        <w:spacing w:after="120"/>
        <w:ind w:firstLine="0" w:firstLineChars="0"/>
      </w:pPr>
      <w:r>
        <w:drawing>
          <wp:inline distT="0" distB="0" distL="114300" distR="114300">
            <wp:extent cx="6188075" cy="1915795"/>
            <wp:effectExtent l="0" t="0" r="3175" b="825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7"/>
                    <a:stretch>
                      <a:fillRect/>
                    </a:stretch>
                  </pic:blipFill>
                  <pic:spPr>
                    <a:xfrm>
                      <a:off x="0" y="0"/>
                      <a:ext cx="6188075" cy="1915795"/>
                    </a:xfrm>
                    <a:prstGeom prst="rect">
                      <a:avLst/>
                    </a:prstGeom>
                    <a:noFill/>
                    <a:ln>
                      <a:noFill/>
                    </a:ln>
                  </pic:spPr>
                </pic:pic>
              </a:graphicData>
            </a:graphic>
          </wp:inline>
        </w:drawing>
      </w:r>
    </w:p>
    <w:p w14:paraId="419DD65A">
      <w:pPr>
        <w:pStyle w:val="36"/>
        <w:numPr>
          <w:ilvl w:val="255"/>
          <w:numId w:val="0"/>
        </w:numPr>
        <w:spacing w:after="0" w:line="240" w:lineRule="auto"/>
        <w:jc w:val="center"/>
        <w:rPr>
          <w:rFonts w:hint="eastAsia"/>
        </w:rPr>
      </w:pPr>
      <w:r>
        <w:rPr>
          <w:rFonts w:hint="eastAsia"/>
        </w:rPr>
        <w:t>Figure 2.</w:t>
      </w:r>
      <w:r>
        <w:rPr>
          <w:rFonts w:hint="eastAsia"/>
          <w:lang w:val="en-US" w:eastAsia="zh-CN"/>
        </w:rPr>
        <w:t>1</w:t>
      </w:r>
      <w:r>
        <w:rPr>
          <w:rFonts w:hint="eastAsia"/>
        </w:rPr>
        <w:t>.</w:t>
      </w:r>
      <w:r>
        <w:rPr>
          <w:rFonts w:hint="eastAsia"/>
          <w:lang w:val="en-US" w:eastAsia="zh-CN"/>
        </w:rPr>
        <w:t>1</w:t>
      </w:r>
      <w:r>
        <w:rPr>
          <w:rFonts w:hint="eastAsia"/>
        </w:rPr>
        <w:t>-1: Example of Rx intermodulation requirement for SBFD BS</w:t>
      </w:r>
    </w:p>
    <w:p w14:paraId="7540AAE3">
      <w:pPr>
        <w:pStyle w:val="36"/>
        <w:numPr>
          <w:ilvl w:val="0"/>
          <w:numId w:val="0"/>
        </w:numPr>
        <w:spacing w:after="120" w:line="240" w:lineRule="auto"/>
        <w:ind w:firstLine="0" w:firstLineChars="0"/>
        <w:jc w:val="left"/>
        <w:rPr>
          <w:rFonts w:hint="default"/>
          <w:b/>
          <w:bCs/>
          <w:sz w:val="20"/>
          <w:szCs w:val="20"/>
          <w:lang w:val="en-US" w:eastAsia="zh-CN"/>
        </w:rPr>
      </w:pPr>
      <w:r>
        <w:rPr>
          <w:rFonts w:hint="eastAsia"/>
          <w:b/>
          <w:bCs/>
          <w:sz w:val="20"/>
          <w:szCs w:val="20"/>
          <w:lang w:val="en-US" w:eastAsia="zh-CN"/>
        </w:rPr>
        <w:t xml:space="preserve">Proposal 1: </w:t>
      </w:r>
      <w:r>
        <w:rPr>
          <w:rFonts w:hint="eastAsia"/>
          <w:b w:val="0"/>
          <w:bCs w:val="0"/>
          <w:sz w:val="20"/>
          <w:szCs w:val="20"/>
          <w:lang w:val="en-US" w:eastAsia="zh-CN"/>
        </w:rPr>
        <w:t>for the receiver intermodulation requirements, BS2BS CLI should be taken into account for power level for interference signal.</w:t>
      </w:r>
    </w:p>
    <w:p w14:paraId="2773B929">
      <w:pPr>
        <w:pStyle w:val="36"/>
        <w:numPr>
          <w:ilvl w:val="0"/>
          <w:numId w:val="0"/>
        </w:numPr>
        <w:spacing w:after="120" w:line="240" w:lineRule="auto"/>
        <w:ind w:firstLine="0" w:firstLineChars="0"/>
        <w:jc w:val="left"/>
        <w:rPr>
          <w:rFonts w:hint="eastAsia"/>
          <w:b w:val="0"/>
          <w:bCs w:val="0"/>
          <w:sz w:val="20"/>
          <w:szCs w:val="20"/>
          <w:lang w:val="en-US" w:eastAsia="zh-CN"/>
        </w:rPr>
      </w:pPr>
      <w:r>
        <w:rPr>
          <w:rFonts w:hint="eastAsia"/>
          <w:b/>
          <w:bCs/>
          <w:sz w:val="20"/>
          <w:szCs w:val="20"/>
          <w:lang w:val="en-US" w:eastAsia="zh-CN"/>
        </w:rPr>
        <w:t>Proposal 2:</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2.2.3-1.</w:t>
      </w:r>
    </w:p>
    <w:p w14:paraId="7A2E1D4B">
      <w:pPr>
        <w:pStyle w:val="36"/>
        <w:spacing w:after="120" w:line="260" w:lineRule="auto"/>
        <w:ind w:firstLine="0" w:firstLineChars="0"/>
        <w:outlineLvl w:val="2"/>
        <w:rPr>
          <w:rFonts w:hint="eastAsia"/>
          <w:b w:val="0"/>
          <w:bCs w:val="0"/>
          <w:sz w:val="20"/>
          <w:szCs w:val="20"/>
          <w:lang w:val="en-US" w:eastAsia="zh-CN"/>
        </w:rPr>
      </w:pPr>
      <w:r>
        <w:rPr>
          <w:rFonts w:hint="eastAsia"/>
        </w:rPr>
        <w:t>2.</w:t>
      </w:r>
      <w:r>
        <w:rPr>
          <w:rFonts w:hint="eastAsia"/>
          <w:lang w:val="en-US" w:eastAsia="zh-CN"/>
        </w:rPr>
        <w:t>1</w:t>
      </w:r>
      <w:r>
        <w:rPr>
          <w:rFonts w:hint="eastAsia"/>
        </w:rPr>
        <w:t>.</w:t>
      </w:r>
      <w:r>
        <w:rPr>
          <w:rFonts w:hint="eastAsia"/>
          <w:lang w:val="en-US" w:eastAsia="zh-CN"/>
        </w:rPr>
        <w:t>2</w:t>
      </w:r>
      <w:r>
        <w:rPr>
          <w:rFonts w:hint="eastAsia"/>
        </w:rPr>
        <w:t>.</w:t>
      </w:r>
      <w:r>
        <w:rPr>
          <w:rFonts w:hint="eastAsia"/>
          <w:lang w:val="en-US" w:eastAsia="zh-CN"/>
        </w:rPr>
        <w:t xml:space="preserve"> IBB requirements</w:t>
      </w:r>
      <w:r>
        <w:rPr>
          <w:rFonts w:hint="eastAsia"/>
        </w:rPr>
        <w:t xml:space="preserve"> </w:t>
      </w:r>
    </w:p>
    <w:p w14:paraId="32F32085">
      <w:pPr>
        <w:pStyle w:val="36"/>
        <w:numPr>
          <w:ilvl w:val="0"/>
          <w:numId w:val="0"/>
        </w:numPr>
        <w:spacing w:after="120" w:line="240" w:lineRule="auto"/>
        <w:ind w:firstLine="0" w:firstLineChars="0"/>
        <w:jc w:val="left"/>
        <w:rPr>
          <w:rFonts w:hint="default"/>
          <w:b w:val="0"/>
          <w:bCs w:val="0"/>
          <w:sz w:val="20"/>
          <w:szCs w:val="20"/>
          <w:lang w:val="en-US" w:eastAsia="zh-CN"/>
        </w:rPr>
      </w:pPr>
      <w:r>
        <w:rPr>
          <w:rFonts w:hint="eastAsia"/>
          <w:b w:val="0"/>
          <w:bCs w:val="0"/>
          <w:sz w:val="20"/>
          <w:szCs w:val="20"/>
          <w:lang w:val="en-US" w:eastAsia="zh-CN"/>
        </w:rPr>
        <w:t>During the last RAN4 meeting, there were some discussions on IBB evaluation to figure out the appropriate requirement definition. In the following section, we provide some initial simulation results according to the simulation assumption captured in TR 38.858.</w:t>
      </w:r>
    </w:p>
    <w:p w14:paraId="2DACA084">
      <w:pPr>
        <w:pStyle w:val="36"/>
        <w:numPr>
          <w:ilvl w:val="0"/>
          <w:numId w:val="0"/>
        </w:numPr>
        <w:spacing w:after="120" w:line="240" w:lineRule="auto"/>
        <w:ind w:firstLine="0" w:firstLineChars="0"/>
        <w:jc w:val="left"/>
        <w:rPr>
          <w:rFonts w:hint="eastAsia"/>
          <w:b/>
          <w:bCs/>
          <w:sz w:val="20"/>
          <w:szCs w:val="20"/>
          <w:lang w:val="en-US" w:eastAsia="zh-CN"/>
        </w:rPr>
      </w:pPr>
      <w:r>
        <w:rPr>
          <w:rFonts w:hint="eastAsia"/>
          <w:b/>
          <w:bCs/>
          <w:sz w:val="20"/>
          <w:szCs w:val="20"/>
          <w:lang w:val="en-US" w:eastAsia="zh-CN"/>
        </w:rPr>
        <w:t>FR1:</w:t>
      </w:r>
    </w:p>
    <w:p w14:paraId="5A41039B">
      <w:pPr>
        <w:jc w:val="center"/>
      </w:pPr>
      <w:r>
        <w:drawing>
          <wp:inline distT="0" distB="0" distL="114300" distR="114300">
            <wp:extent cx="3239770" cy="2430145"/>
            <wp:effectExtent l="0" t="0" r="1778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3239770" cy="2430145"/>
                    </a:xfrm>
                    <a:prstGeom prst="rect">
                      <a:avLst/>
                    </a:prstGeom>
                    <a:noFill/>
                    <a:ln>
                      <a:noFill/>
                    </a:ln>
                  </pic:spPr>
                </pic:pic>
              </a:graphicData>
            </a:graphic>
          </wp:inline>
        </w:drawing>
      </w:r>
    </w:p>
    <w:p w14:paraId="5667A5A8">
      <w:pPr>
        <w:jc w:val="center"/>
        <w:rPr>
          <w:rFonts w:hint="default" w:eastAsia="宋体"/>
          <w:lang w:val="en-US" w:eastAsia="zh-CN"/>
        </w:rPr>
      </w:pPr>
      <w:r>
        <w:rPr>
          <w:rFonts w:hint="eastAsia"/>
          <w:lang w:val="en-US" w:eastAsia="zh-CN"/>
        </w:rPr>
        <w:t xml:space="preserve">Figure 2.1.2-1. the evaluation results for Scenario 1 </w:t>
      </w:r>
    </w:p>
    <w:p w14:paraId="5A8AE352">
      <w:pPr>
        <w:jc w:val="center"/>
      </w:pPr>
      <w:r>
        <w:drawing>
          <wp:inline distT="0" distB="0" distL="114300" distR="114300">
            <wp:extent cx="3241040" cy="2430780"/>
            <wp:effectExtent l="0" t="0" r="1651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a:stretch>
                      <a:fillRect/>
                    </a:stretch>
                  </pic:blipFill>
                  <pic:spPr>
                    <a:xfrm>
                      <a:off x="0" y="0"/>
                      <a:ext cx="3241040" cy="2430780"/>
                    </a:xfrm>
                    <a:prstGeom prst="rect">
                      <a:avLst/>
                    </a:prstGeom>
                    <a:noFill/>
                    <a:ln>
                      <a:noFill/>
                    </a:ln>
                  </pic:spPr>
                </pic:pic>
              </a:graphicData>
            </a:graphic>
          </wp:inline>
        </w:drawing>
      </w:r>
    </w:p>
    <w:p w14:paraId="2248869A">
      <w:pPr>
        <w:jc w:val="center"/>
        <w:rPr>
          <w:rFonts w:hint="eastAsia"/>
          <w:lang w:val="en-US" w:eastAsia="zh-CN"/>
        </w:rPr>
      </w:pPr>
      <w:r>
        <w:rPr>
          <w:rFonts w:hint="eastAsia"/>
          <w:lang w:val="en-US" w:eastAsia="zh-CN"/>
        </w:rPr>
        <w:t xml:space="preserve">Figure 2.1.2-2. the evaluation results for Scenario 3 </w:t>
      </w:r>
    </w:p>
    <w:p w14:paraId="7F2A2D92">
      <w:pPr>
        <w:jc w:val="center"/>
      </w:pPr>
      <w:r>
        <w:drawing>
          <wp:inline distT="0" distB="0" distL="114300" distR="114300">
            <wp:extent cx="3170555" cy="2378075"/>
            <wp:effectExtent l="0" t="0" r="1079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3170555" cy="2378075"/>
                    </a:xfrm>
                    <a:prstGeom prst="rect">
                      <a:avLst/>
                    </a:prstGeom>
                    <a:noFill/>
                    <a:ln>
                      <a:noFill/>
                    </a:ln>
                  </pic:spPr>
                </pic:pic>
              </a:graphicData>
            </a:graphic>
          </wp:inline>
        </w:drawing>
      </w:r>
    </w:p>
    <w:p w14:paraId="79850511">
      <w:pPr>
        <w:jc w:val="center"/>
        <w:rPr>
          <w:rFonts w:hint="default"/>
          <w:lang w:val="en-US" w:eastAsia="zh-CN"/>
        </w:rPr>
      </w:pPr>
      <w:r>
        <w:rPr>
          <w:rFonts w:hint="eastAsia"/>
          <w:lang w:val="en-US" w:eastAsia="zh-CN"/>
        </w:rPr>
        <w:t>Figure 2.1.2-3. the evaluation results for Scenario 5</w:t>
      </w:r>
    </w:p>
    <w:p w14:paraId="0FB497DA">
      <w:pPr>
        <w:jc w:val="left"/>
        <w:rPr>
          <w:rFonts w:hint="eastAsia"/>
          <w:lang w:val="en-US" w:eastAsia="zh-CN"/>
        </w:rPr>
      </w:pPr>
      <w:r>
        <w:rPr>
          <w:rFonts w:hint="eastAsia"/>
          <w:lang w:val="en-US" w:eastAsia="zh-CN"/>
        </w:rPr>
        <w:t>Considering the 99% CDF to define the IBB interfering power level, the blocking level over antenna elements or over antenna array is collected as following. It could be observed that the received power level for Scenario 1, namely FR1 Urban macro scenario are much higher than the existing IBB requirement -43dBm which would be quite challenging for SBFD BS to handle the receiver dynamic range together with the REFSENS requirements.</w:t>
      </w:r>
    </w:p>
    <w:p w14:paraId="1FAD7546">
      <w:pPr>
        <w:jc w:val="left"/>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108575" cy="904240"/>
            <wp:effectExtent l="0" t="0" r="15875" b="0"/>
            <wp:docPr id="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6"/>
                    <pic:cNvPicPr>
                      <a:picLocks noChangeAspect="1"/>
                    </pic:cNvPicPr>
                  </pic:nvPicPr>
                  <pic:blipFill>
                    <a:blip r:embed="rId11"/>
                    <a:stretch>
                      <a:fillRect/>
                    </a:stretch>
                  </pic:blipFill>
                  <pic:spPr>
                    <a:xfrm>
                      <a:off x="0" y="0"/>
                      <a:ext cx="5108575" cy="904240"/>
                    </a:xfrm>
                    <a:prstGeom prst="rect">
                      <a:avLst/>
                    </a:prstGeom>
                    <a:noFill/>
                    <a:ln w="9525">
                      <a:noFill/>
                    </a:ln>
                  </pic:spPr>
                </pic:pic>
              </a:graphicData>
            </a:graphic>
          </wp:inline>
        </w:drawing>
      </w:r>
    </w:p>
    <w:p w14:paraId="25978B16">
      <w:pPr>
        <w:jc w:val="left"/>
        <w:rPr>
          <w:rFonts w:hint="default"/>
          <w:lang w:val="en-US" w:eastAsia="zh-CN"/>
        </w:rPr>
      </w:pPr>
      <w:r>
        <w:rPr>
          <w:rFonts w:hint="eastAsia"/>
          <w:lang w:val="en-US" w:eastAsia="zh-CN"/>
        </w:rPr>
        <w:t xml:space="preserve">In addition, according to the feasibility study for FR1 WA SBFD BS, some analog filter after the LNA need to be implemented to guarantee the required dynamic range and maximum input power for LNA is more than 10dB which will not been blocked somehow. Based on the analog filtering analysis, then in-band blocking power level for FR1 WA BS could be set as -15dBm. </w:t>
      </w:r>
    </w:p>
    <w:p w14:paraId="7147EB8C">
      <w:pPr>
        <w:jc w:val="left"/>
        <w:rPr>
          <w:rFonts w:hint="default"/>
          <w:lang w:val="en-US" w:eastAsia="zh-CN"/>
        </w:rPr>
      </w:pPr>
      <w:r>
        <w:rPr>
          <w:rFonts w:hint="eastAsia"/>
          <w:lang w:val="en-US" w:eastAsia="zh-CN"/>
        </w:rPr>
        <w:t xml:space="preserve">For Scenario 3 indoor scenario,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gridCol w:w="1660"/>
      </w:tblGrid>
      <w:tr w14:paraId="2D4D2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1F7A1193">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42ADC29A">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7F77C2EF">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elements [dBm]</w:t>
            </w:r>
          </w:p>
        </w:tc>
        <w:tc>
          <w:tcPr>
            <w:tcW w:w="1660" w:type="dxa"/>
          </w:tcPr>
          <w:p w14:paraId="7F2C3427">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14:paraId="371E5DC8">
            <w:pPr>
              <w:keepNext w:val="0"/>
              <w:keepLines w:val="0"/>
              <w:suppressLineNumbers w:val="0"/>
              <w:spacing w:before="0" w:beforeAutospacing="0" w:afterAutospacing="0"/>
              <w:ind w:left="0" w:right="0"/>
              <w:rPr>
                <w:rFonts w:hint="eastAsia"/>
                <w:vertAlign w:val="baseline"/>
                <w:lang w:val="en-US" w:eastAsia="zh-CN"/>
              </w:rPr>
            </w:pPr>
            <w:r>
              <w:rPr>
                <w:rFonts w:hint="eastAsia"/>
                <w:vertAlign w:val="baseline"/>
                <w:lang w:val="en-US" w:eastAsia="zh-CN"/>
              </w:rPr>
              <w:t>Per sub-array</w:t>
            </w:r>
          </w:p>
          <w:p w14:paraId="4D84B75F">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[dBm]</w:t>
            </w:r>
          </w:p>
        </w:tc>
      </w:tr>
      <w:tr w14:paraId="2A8B5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8B9BE75">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w:t>
            </w:r>
          </w:p>
        </w:tc>
        <w:tc>
          <w:tcPr>
            <w:tcW w:w="1660" w:type="dxa"/>
          </w:tcPr>
          <w:p w14:paraId="513F5EFB">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14:paraId="2C49BFB8">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-25.3301</w:t>
            </w:r>
          </w:p>
        </w:tc>
        <w:tc>
          <w:tcPr>
            <w:tcW w:w="1660" w:type="dxa"/>
          </w:tcPr>
          <w:p w14:paraId="43C5D4B4">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-19.7623</w:t>
            </w:r>
          </w:p>
        </w:tc>
        <w:tc>
          <w:tcPr>
            <w:tcW w:w="1660" w:type="dxa"/>
          </w:tcPr>
          <w:p w14:paraId="10E7988A">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14:paraId="1331D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2850B25">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272B7BA3">
            <w:pPr>
              <w:keepNext w:val="0"/>
              <w:keepLines w:val="0"/>
              <w:suppressLineNumbers w:val="0"/>
              <w:spacing w:before="0" w:beforeAutospacing="0" w:afterAutospacing="0"/>
              <w:ind w:left="0" w:right="0"/>
              <w:jc w:val="center"/>
              <w:rPr>
                <w:rFonts w:hint="default" w:eastAsia="宋体"/>
                <w:color w:val="0000FF"/>
                <w:vertAlign w:val="baseline"/>
                <w:lang w:val="en-US" w:eastAsia="zh-CN"/>
              </w:rPr>
            </w:pPr>
            <w:r>
              <w:rPr>
                <w:rFonts w:hint="eastAsia"/>
                <w:color w:val="0000FF"/>
                <w:vertAlign w:val="baseline"/>
                <w:lang w:val="en-US" w:eastAsia="zh-CN"/>
              </w:rPr>
              <w:t>10%</w:t>
            </w:r>
          </w:p>
        </w:tc>
        <w:tc>
          <w:tcPr>
            <w:tcW w:w="1660" w:type="dxa"/>
          </w:tcPr>
          <w:p w14:paraId="3CCAE6B1">
            <w:pPr>
              <w:keepNext w:val="0"/>
              <w:keepLines w:val="0"/>
              <w:suppressLineNumbers w:val="0"/>
              <w:spacing w:before="0" w:beforeAutospacing="0" w:afterAutospacing="0"/>
              <w:ind w:left="0" w:right="0"/>
              <w:jc w:val="center"/>
              <w:rPr>
                <w:rFonts w:hint="default"/>
                <w:color w:val="0000FF"/>
                <w:highlight w:val="red"/>
                <w:vertAlign w:val="baseline"/>
              </w:rPr>
            </w:pPr>
            <w:r>
              <w:rPr>
                <w:rFonts w:hint="eastAsia"/>
                <w:color w:val="0000FF"/>
                <w:highlight w:val="red"/>
                <w:vertAlign w:val="baseline"/>
              </w:rPr>
              <w:t>-1.5067</w:t>
            </w:r>
          </w:p>
        </w:tc>
        <w:tc>
          <w:tcPr>
            <w:tcW w:w="1660" w:type="dxa"/>
          </w:tcPr>
          <w:p w14:paraId="1494C9AD">
            <w:pPr>
              <w:keepNext w:val="0"/>
              <w:keepLines w:val="0"/>
              <w:suppressLineNumbers w:val="0"/>
              <w:spacing w:before="0" w:beforeAutospacing="0" w:afterAutospacing="0"/>
              <w:ind w:left="0" w:right="0"/>
              <w:jc w:val="center"/>
              <w:rPr>
                <w:rFonts w:hint="default"/>
                <w:color w:val="0000FF"/>
                <w:highlight w:val="red"/>
                <w:vertAlign w:val="baseline"/>
              </w:rPr>
            </w:pPr>
            <w:r>
              <w:rPr>
                <w:rFonts w:hint="eastAsia"/>
                <w:color w:val="0000FF"/>
                <w:highlight w:val="red"/>
                <w:vertAlign w:val="baseline"/>
              </w:rPr>
              <w:t>3.4934</w:t>
            </w:r>
          </w:p>
        </w:tc>
        <w:tc>
          <w:tcPr>
            <w:tcW w:w="1660" w:type="dxa"/>
          </w:tcPr>
          <w:p w14:paraId="6B6C13CB">
            <w:pPr>
              <w:keepNext w:val="0"/>
              <w:keepLines w:val="0"/>
              <w:suppressLineNumbers w:val="0"/>
              <w:spacing w:before="0" w:beforeAutospacing="0" w:afterAutospacing="0"/>
              <w:ind w:left="0" w:right="0"/>
              <w:jc w:val="center"/>
              <w:rPr>
                <w:rFonts w:hint="default"/>
                <w:color w:val="0000FF"/>
                <w:vertAlign w:val="baseline"/>
              </w:rPr>
            </w:pPr>
            <w:r>
              <w:rPr>
                <w:rFonts w:hint="eastAsia"/>
                <w:color w:val="0000FF"/>
                <w:vertAlign w:val="baseline"/>
                <w:lang w:val="en-US" w:eastAsia="zh-CN"/>
              </w:rPr>
              <w:t>TBD</w:t>
            </w:r>
          </w:p>
        </w:tc>
      </w:tr>
      <w:tr w14:paraId="4284B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0C514BA7">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4685A390">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14:paraId="647CA490">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-7.4879</w:t>
            </w:r>
          </w:p>
        </w:tc>
        <w:tc>
          <w:tcPr>
            <w:tcW w:w="1660" w:type="dxa"/>
          </w:tcPr>
          <w:p w14:paraId="696AE61B">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-1.6402</w:t>
            </w:r>
          </w:p>
        </w:tc>
        <w:tc>
          <w:tcPr>
            <w:tcW w:w="1660" w:type="dxa"/>
          </w:tcPr>
          <w:p w14:paraId="07E4F164">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4B337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4D7CCEF1">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5AA520F0">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14:paraId="01468354">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-17.4928</w:t>
            </w:r>
          </w:p>
        </w:tc>
        <w:tc>
          <w:tcPr>
            <w:tcW w:w="1660" w:type="dxa"/>
          </w:tcPr>
          <w:p w14:paraId="67D350B4">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-13.0954</w:t>
            </w:r>
          </w:p>
        </w:tc>
        <w:tc>
          <w:tcPr>
            <w:tcW w:w="1660" w:type="dxa"/>
          </w:tcPr>
          <w:p w14:paraId="0BC7FD92">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52D91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6383E8BC">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3</w:t>
            </w:r>
          </w:p>
        </w:tc>
        <w:tc>
          <w:tcPr>
            <w:tcW w:w="1660" w:type="dxa"/>
          </w:tcPr>
          <w:p w14:paraId="1DF75883">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NA</w:t>
            </w:r>
          </w:p>
        </w:tc>
        <w:tc>
          <w:tcPr>
            <w:tcW w:w="1660" w:type="dxa"/>
          </w:tcPr>
          <w:p w14:paraId="10A138C8">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-42.4091</w:t>
            </w:r>
          </w:p>
        </w:tc>
        <w:tc>
          <w:tcPr>
            <w:tcW w:w="1660" w:type="dxa"/>
          </w:tcPr>
          <w:p w14:paraId="55747C16">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-34.4724</w:t>
            </w:r>
          </w:p>
        </w:tc>
        <w:tc>
          <w:tcPr>
            <w:tcW w:w="1660" w:type="dxa"/>
          </w:tcPr>
          <w:p w14:paraId="374103D6">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TBD</w:t>
            </w:r>
          </w:p>
        </w:tc>
      </w:tr>
      <w:tr w14:paraId="78C7A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C2B3EB0">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5</w:t>
            </w:r>
          </w:p>
        </w:tc>
        <w:tc>
          <w:tcPr>
            <w:tcW w:w="1660" w:type="dxa"/>
          </w:tcPr>
          <w:p w14:paraId="0CC1F605">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vAlign w:val="top"/>
          </w:tcPr>
          <w:p w14:paraId="56852B84">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 xml:space="preserve"> -38.9889</w:t>
            </w:r>
          </w:p>
        </w:tc>
        <w:tc>
          <w:tcPr>
            <w:tcW w:w="1660" w:type="dxa"/>
            <w:vAlign w:val="top"/>
          </w:tcPr>
          <w:p w14:paraId="2EC3AD0F">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-35.7181</w:t>
            </w:r>
          </w:p>
        </w:tc>
        <w:tc>
          <w:tcPr>
            <w:tcW w:w="1660" w:type="dxa"/>
          </w:tcPr>
          <w:p w14:paraId="5ED9BD07">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14:paraId="577C3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5E4378FB">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7758ADF0">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vAlign w:val="top"/>
          </w:tcPr>
          <w:p w14:paraId="5C099DFD">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-15.4155</w:t>
            </w:r>
          </w:p>
        </w:tc>
        <w:tc>
          <w:tcPr>
            <w:tcW w:w="1660" w:type="dxa"/>
            <w:vAlign w:val="top"/>
          </w:tcPr>
          <w:p w14:paraId="338F70BB">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-11.2276</w:t>
            </w:r>
          </w:p>
        </w:tc>
        <w:tc>
          <w:tcPr>
            <w:tcW w:w="1660" w:type="dxa"/>
          </w:tcPr>
          <w:p w14:paraId="1469E307">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05A98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6EC1A65">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7A167AA8">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vAlign w:val="top"/>
          </w:tcPr>
          <w:p w14:paraId="5AE072F3">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-22.3199</w:t>
            </w:r>
          </w:p>
        </w:tc>
        <w:tc>
          <w:tcPr>
            <w:tcW w:w="1660" w:type="dxa"/>
            <w:vAlign w:val="top"/>
          </w:tcPr>
          <w:p w14:paraId="1336A213">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-18.4471</w:t>
            </w:r>
          </w:p>
        </w:tc>
        <w:tc>
          <w:tcPr>
            <w:tcW w:w="1660" w:type="dxa"/>
          </w:tcPr>
          <w:p w14:paraId="7778D0DC">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14:paraId="74AC8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1F4013B2">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1F4B9598">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vAlign w:val="top"/>
          </w:tcPr>
          <w:p w14:paraId="1B203F01">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-32.3749</w:t>
            </w:r>
          </w:p>
        </w:tc>
        <w:tc>
          <w:tcPr>
            <w:tcW w:w="1660" w:type="dxa"/>
            <w:vAlign w:val="top"/>
          </w:tcPr>
          <w:p w14:paraId="7603B59C">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-29.5694</w:t>
            </w:r>
          </w:p>
        </w:tc>
        <w:tc>
          <w:tcPr>
            <w:tcW w:w="1660" w:type="dxa"/>
          </w:tcPr>
          <w:p w14:paraId="3F9E03AB">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bl>
    <w:p w14:paraId="2874A3B2">
      <w:pPr>
        <w:pStyle w:val="36"/>
        <w:numPr>
          <w:ilvl w:val="0"/>
          <w:numId w:val="0"/>
        </w:numPr>
        <w:spacing w:after="120" w:line="240" w:lineRule="auto"/>
        <w:ind w:firstLine="0" w:firstLineChars="0"/>
        <w:jc w:val="left"/>
      </w:pPr>
    </w:p>
    <w:p w14:paraId="7175D040">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14:paraId="47FBD6B6">
      <w:pPr>
        <w:pStyle w:val="36"/>
        <w:numPr>
          <w:ilvl w:val="0"/>
          <w:numId w:val="0"/>
        </w:numPr>
        <w:spacing w:after="120" w:line="240" w:lineRule="auto"/>
        <w:ind w:firstLine="0" w:firstLineChars="0"/>
        <w:jc w:val="left"/>
        <w:rPr>
          <w:rFonts w:hint="default"/>
          <w:lang w:val="en-US" w:eastAsia="zh-CN"/>
        </w:rPr>
      </w:pPr>
      <w:r>
        <w:rPr>
          <w:rFonts w:hint="eastAsia"/>
          <w:lang w:val="en-US" w:eastAsia="zh-CN"/>
        </w:rPr>
        <w:t xml:space="preserve">In addition, as mentioned above, the analog filtering after the LNA is needed for FR1 WA SBFD BS, with the initial analysis, the achievable in-band blocking would be similar as the legacy OOBB power level. </w:t>
      </w:r>
    </w:p>
    <w:p w14:paraId="1E45556F">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Proposal 3</w:t>
      </w:r>
      <w:r>
        <w:rPr>
          <w:rFonts w:hint="eastAsia"/>
          <w:lang w:val="en-US" w:eastAsia="zh-CN"/>
        </w:rPr>
        <w:t>: for FR1 WA SBFD BS, propose the in-band blocking level as -15dBm.</w:t>
      </w:r>
    </w:p>
    <w:p w14:paraId="6F64082D">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14:paraId="105BBC4D">
      <w:pPr>
        <w:pStyle w:val="36"/>
        <w:numPr>
          <w:ilvl w:val="0"/>
          <w:numId w:val="0"/>
        </w:numPr>
        <w:spacing w:after="120" w:line="240" w:lineRule="auto"/>
        <w:ind w:firstLine="0" w:firstLineChars="0"/>
        <w:jc w:val="left"/>
        <w:rPr>
          <w:rFonts w:hint="eastAsia"/>
          <w:lang w:val="en-US" w:eastAsia="zh-CN"/>
        </w:rPr>
      </w:pPr>
      <w:r>
        <w:rPr>
          <w:rFonts w:hint="eastAsia"/>
          <w:lang w:val="en-US" w:eastAsia="zh-CN"/>
        </w:rPr>
        <w:t xml:space="preserve">In addition, as mentioned above, the analog filtering after the LNA is needed for FR1 WA SBFD BS, with the initial analysis, the achievable in-band blocking would be similar as the legacy OOBB power level. </w:t>
      </w:r>
    </w:p>
    <w:p w14:paraId="674180C6">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3:</w:t>
      </w:r>
      <w:r>
        <w:rPr>
          <w:rFonts w:hint="eastAsia"/>
          <w:lang w:val="en-US" w:eastAsia="zh-CN"/>
        </w:rPr>
        <w:t xml:space="preserve"> for Scenario 5 FR1 micro scenario, the received power under the 100% grid shift is still close to the existing requirement, however for the other grid shift assumption, the received power level (10% grid shift) are much higher than the existing IBB requirement -38dBm which would be quite challenging for SBFD BS to handle the receiver dynamic range together with the REFSENS requirements.</w:t>
      </w:r>
    </w:p>
    <w:p w14:paraId="464A1003">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Proposal 4</w:t>
      </w:r>
      <w:r>
        <w:rPr>
          <w:rFonts w:hint="eastAsia"/>
          <w:lang w:val="en-US" w:eastAsia="zh-CN"/>
        </w:rPr>
        <w:t>: for FR1 MR SBFD, propose to define the in-band blocking requirement as -38dBm under the assumption of without any analog filtering design after the LNA of receiver chain which is close to 100% grid shift in the practical deployment.</w:t>
      </w:r>
    </w:p>
    <w:p w14:paraId="4E662AC8">
      <w:pPr>
        <w:pStyle w:val="36"/>
        <w:numPr>
          <w:ilvl w:val="0"/>
          <w:numId w:val="0"/>
        </w:numPr>
        <w:spacing w:after="120" w:line="240" w:lineRule="auto"/>
        <w:ind w:firstLine="0" w:firstLineChars="0"/>
        <w:jc w:val="left"/>
        <w:rPr>
          <w:rFonts w:hint="default"/>
          <w:lang w:val="en-US" w:eastAsia="zh-CN"/>
        </w:rPr>
      </w:pPr>
      <w:r>
        <w:drawing>
          <wp:inline distT="0" distB="0" distL="114300" distR="114300">
            <wp:extent cx="6180455" cy="3747770"/>
            <wp:effectExtent l="0" t="0" r="1079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6180455" cy="3747770"/>
                    </a:xfrm>
                    <a:prstGeom prst="rect">
                      <a:avLst/>
                    </a:prstGeom>
                    <a:noFill/>
                    <a:ln>
                      <a:noFill/>
                    </a:ln>
                  </pic:spPr>
                </pic:pic>
              </a:graphicData>
            </a:graphic>
          </wp:inline>
        </w:drawing>
      </w:r>
    </w:p>
    <w:p w14:paraId="1E1460C6">
      <w:pPr>
        <w:pStyle w:val="36"/>
        <w:numPr>
          <w:ilvl w:val="0"/>
          <w:numId w:val="0"/>
        </w:numPr>
        <w:spacing w:after="120" w:line="240" w:lineRule="auto"/>
        <w:ind w:firstLine="0" w:firstLineChars="0"/>
        <w:jc w:val="left"/>
        <w:rPr>
          <w:b/>
          <w:bCs/>
        </w:rPr>
      </w:pPr>
      <w:r>
        <w:rPr>
          <w:rFonts w:hint="eastAsia"/>
          <w:b/>
          <w:bCs/>
          <w:sz w:val="20"/>
          <w:szCs w:val="20"/>
          <w:lang w:val="en-US" w:eastAsia="zh-CN"/>
        </w:rPr>
        <w:t>FR2-1:</w:t>
      </w:r>
    </w:p>
    <w:p w14:paraId="0DDEB823">
      <w:pPr>
        <w:jc w:val="center"/>
      </w:pPr>
      <w:r>
        <w:drawing>
          <wp:inline distT="0" distB="0" distL="114300" distR="114300">
            <wp:extent cx="3241040" cy="243078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3241040" cy="2430780"/>
                    </a:xfrm>
                    <a:prstGeom prst="rect">
                      <a:avLst/>
                    </a:prstGeom>
                    <a:noFill/>
                    <a:ln>
                      <a:noFill/>
                    </a:ln>
                  </pic:spPr>
                </pic:pic>
              </a:graphicData>
            </a:graphic>
          </wp:inline>
        </w:drawing>
      </w:r>
    </w:p>
    <w:p w14:paraId="3336936E">
      <w:pPr>
        <w:jc w:val="center"/>
      </w:pPr>
      <w:r>
        <w:rPr>
          <w:rFonts w:hint="eastAsia"/>
          <w:lang w:val="en-US" w:eastAsia="zh-CN"/>
        </w:rPr>
        <w:t>Figure 2.1.4-3a. the evaluation results for Scenario 6</w:t>
      </w:r>
    </w:p>
    <w:p w14:paraId="664E32FE">
      <w:pPr>
        <w:jc w:val="center"/>
      </w:pPr>
      <w:r>
        <w:drawing>
          <wp:inline distT="0" distB="0" distL="114300" distR="114300">
            <wp:extent cx="3241040" cy="24307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3241040" cy="2430780"/>
                    </a:xfrm>
                    <a:prstGeom prst="rect">
                      <a:avLst/>
                    </a:prstGeom>
                    <a:noFill/>
                    <a:ln>
                      <a:noFill/>
                    </a:ln>
                  </pic:spPr>
                </pic:pic>
              </a:graphicData>
            </a:graphic>
          </wp:inline>
        </w:drawing>
      </w:r>
    </w:p>
    <w:p w14:paraId="1490D854">
      <w:pPr>
        <w:jc w:val="center"/>
      </w:pPr>
      <w:r>
        <w:rPr>
          <w:rFonts w:hint="eastAsia"/>
          <w:lang w:val="en-US" w:eastAsia="zh-CN"/>
        </w:rPr>
        <w:t>Figure 2.1.4-3b. the evaluation results for Scenario 6</w:t>
      </w:r>
    </w:p>
    <w:p w14:paraId="69F7FEDD">
      <w:pPr>
        <w:jc w:val="center"/>
      </w:pPr>
      <w:r>
        <w:drawing>
          <wp:inline distT="0" distB="0" distL="114300" distR="114300">
            <wp:extent cx="3241040" cy="24307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3241040" cy="2430780"/>
                    </a:xfrm>
                    <a:prstGeom prst="rect">
                      <a:avLst/>
                    </a:prstGeom>
                    <a:noFill/>
                    <a:ln>
                      <a:noFill/>
                    </a:ln>
                  </pic:spPr>
                </pic:pic>
              </a:graphicData>
            </a:graphic>
          </wp:inline>
        </w:drawing>
      </w:r>
    </w:p>
    <w:p w14:paraId="4BF60DC7">
      <w:pPr>
        <w:jc w:val="center"/>
      </w:pPr>
      <w:r>
        <w:rPr>
          <w:rFonts w:hint="eastAsia"/>
          <w:lang w:val="en-US" w:eastAsia="zh-CN"/>
        </w:rPr>
        <w:t>Figure 2.1.4-4a. the evaluation results for Scenario 9</w:t>
      </w:r>
    </w:p>
    <w:p w14:paraId="4734FF2F">
      <w:pPr>
        <w:jc w:val="center"/>
      </w:pPr>
      <w:r>
        <w:drawing>
          <wp:inline distT="0" distB="0" distL="114300" distR="114300">
            <wp:extent cx="3241040" cy="24307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3241040" cy="2430780"/>
                    </a:xfrm>
                    <a:prstGeom prst="rect">
                      <a:avLst/>
                    </a:prstGeom>
                    <a:noFill/>
                    <a:ln>
                      <a:noFill/>
                    </a:ln>
                  </pic:spPr>
                </pic:pic>
              </a:graphicData>
            </a:graphic>
          </wp:inline>
        </w:drawing>
      </w:r>
    </w:p>
    <w:p w14:paraId="20084C8C">
      <w:pPr>
        <w:jc w:val="center"/>
      </w:pPr>
      <w:r>
        <w:rPr>
          <w:rFonts w:hint="eastAsia"/>
          <w:lang w:val="en-US" w:eastAsia="zh-CN"/>
        </w:rPr>
        <w:t>Figure 2.1.4-4b. the evaluation results for Scenario 9</w:t>
      </w:r>
    </w:p>
    <w:p w14:paraId="6C3FB5FF">
      <w:pPr>
        <w:jc w:val="left"/>
      </w:pPr>
      <w:r>
        <w:rPr>
          <w:rFonts w:hint="eastAsia"/>
          <w:lang w:val="en-US" w:eastAsia="zh-CN"/>
        </w:rPr>
        <w:t xml:space="preserve">Similar as FR1, considering the 99% CDF to define the IBB interfering power level, the blocking level over antenna array and relative power difference between wanted signal and IBB signal is collected as following. It could be observed that the relative power difference between wanted signal and IBB signal in Scenario 6 and Scenario 9 is still close to the existing IBB requirement if without considering 6dB performance degradation of wanted signal. In other words, for Scenario 6 and 9,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tblGrid>
      <w:tr w14:paraId="2B2D7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28B22ACD">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0D7A797D">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198F5E25">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14:paraId="0E1C308F">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Relative power difference  [dBm]</w:t>
            </w:r>
          </w:p>
        </w:tc>
      </w:tr>
      <w:tr w14:paraId="242CB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14:paraId="0E2FECCC">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6</w:t>
            </w:r>
          </w:p>
        </w:tc>
        <w:tc>
          <w:tcPr>
            <w:tcW w:w="1660" w:type="dxa"/>
          </w:tcPr>
          <w:p w14:paraId="0777E85C">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14:paraId="2E19ED1B">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-48.3600</w:t>
            </w:r>
          </w:p>
        </w:tc>
        <w:tc>
          <w:tcPr>
            <w:tcW w:w="1660" w:type="dxa"/>
          </w:tcPr>
          <w:p w14:paraId="15D9AF71">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25.6302</w:t>
            </w:r>
          </w:p>
        </w:tc>
      </w:tr>
      <w:tr w14:paraId="7DBC1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3D18AA37">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6B4BA78B">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tcPr>
          <w:p w14:paraId="24FA8CEC">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-36.5674</w:t>
            </w:r>
          </w:p>
        </w:tc>
        <w:tc>
          <w:tcPr>
            <w:tcW w:w="1660" w:type="dxa"/>
          </w:tcPr>
          <w:p w14:paraId="56AF2454">
            <w:pPr>
              <w:keepNext w:val="0"/>
              <w:keepLines w:val="0"/>
              <w:suppressLineNumbers w:val="0"/>
              <w:spacing w:before="0" w:beforeAutospacing="0" w:afterAutospacing="0"/>
              <w:ind w:left="0" w:right="0"/>
              <w:jc w:val="center"/>
              <w:rPr>
                <w:rFonts w:hint="default"/>
                <w:vertAlign w:val="baseline"/>
              </w:rPr>
            </w:pPr>
            <w:r>
              <w:rPr>
                <w:rFonts w:hint="eastAsia"/>
                <w:vertAlign w:val="baseline"/>
              </w:rPr>
              <w:t>37.2361</w:t>
            </w:r>
          </w:p>
        </w:tc>
      </w:tr>
      <w:tr w14:paraId="66938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2957F5AD">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0FC0E97B">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14:paraId="3A94DCB9">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-41.2973</w:t>
            </w:r>
          </w:p>
        </w:tc>
        <w:tc>
          <w:tcPr>
            <w:tcW w:w="1660" w:type="dxa"/>
          </w:tcPr>
          <w:p w14:paraId="39B409D9">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32.3168</w:t>
            </w:r>
          </w:p>
        </w:tc>
      </w:tr>
      <w:tr w14:paraId="02586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14:paraId="650C298D">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14:paraId="36B0F57B">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14:paraId="7406C54F">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-45.7134</w:t>
            </w:r>
          </w:p>
        </w:tc>
        <w:tc>
          <w:tcPr>
            <w:tcW w:w="1660" w:type="dxa"/>
          </w:tcPr>
          <w:p w14:paraId="11FF811F">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w:t>
            </w:r>
            <w:r>
              <w:rPr>
                <w:rFonts w:hint="eastAsia"/>
                <w:highlight w:val="green"/>
                <w:vertAlign w:val="baseline"/>
              </w:rPr>
              <w:t>27.8767</w:t>
            </w:r>
          </w:p>
        </w:tc>
      </w:tr>
      <w:tr w14:paraId="1ADED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4D1FA5C3">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9</w:t>
            </w:r>
          </w:p>
        </w:tc>
        <w:tc>
          <w:tcPr>
            <w:tcW w:w="1660" w:type="dxa"/>
          </w:tcPr>
          <w:p w14:paraId="0882F201">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N/A</w:t>
            </w:r>
          </w:p>
        </w:tc>
        <w:tc>
          <w:tcPr>
            <w:tcW w:w="1660" w:type="dxa"/>
          </w:tcPr>
          <w:p w14:paraId="24EA81C8">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-56.5661</w:t>
            </w:r>
          </w:p>
        </w:tc>
        <w:tc>
          <w:tcPr>
            <w:tcW w:w="1660" w:type="dxa"/>
          </w:tcPr>
          <w:p w14:paraId="6AF25989">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w:t>
            </w:r>
            <w:r>
              <w:rPr>
                <w:rFonts w:hint="eastAsia"/>
                <w:highlight w:val="green"/>
                <w:vertAlign w:val="baseline"/>
              </w:rPr>
              <w:t>16.8709</w:t>
            </w:r>
          </w:p>
        </w:tc>
      </w:tr>
    </w:tbl>
    <w:p w14:paraId="241735FD"/>
    <w:p w14:paraId="1A393D85">
      <w:pPr>
        <w:pStyle w:val="36"/>
        <w:numPr>
          <w:ilvl w:val="0"/>
          <w:numId w:val="0"/>
        </w:numPr>
        <w:spacing w:after="120" w:line="240" w:lineRule="auto"/>
        <w:ind w:firstLine="0" w:firstLineChars="0"/>
        <w:jc w:val="left"/>
      </w:pPr>
      <w:r>
        <w:rPr>
          <w:rFonts w:hint="eastAsia"/>
          <w:b/>
          <w:bCs/>
          <w:lang w:val="en-US" w:eastAsia="zh-CN"/>
        </w:rPr>
        <w:t>Observation 4:</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14:paraId="6FF0E7CA">
      <w:pPr>
        <w:pStyle w:val="57"/>
        <w:tabs>
          <w:tab w:val="left" w:pos="567"/>
          <w:tab w:val="clear" w:pos="1985"/>
        </w:tabs>
        <w:adjustRightInd w:val="0"/>
        <w:ind w:left="510" w:hanging="510"/>
      </w:pPr>
      <w:r>
        <w:t>Conclusions</w:t>
      </w:r>
    </w:p>
    <w:p w14:paraId="1A898D31">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further views on RF requirements for SBFD BS</w:t>
      </w:r>
      <w:r>
        <w:rPr>
          <w:rFonts w:hint="eastAsia" w:cs="Times New Roman"/>
          <w:sz w:val="20"/>
          <w:szCs w:val="20"/>
          <w:lang w:val="en-US" w:eastAsia="zh-CN"/>
        </w:rPr>
        <w:t xml:space="preserve"> and proposals/observations are made as following:</w:t>
      </w:r>
    </w:p>
    <w:p w14:paraId="4DD5ABA9">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b/>
          <w:bCs/>
          <w:sz w:val="20"/>
          <w:szCs w:val="20"/>
          <w:lang w:val="en-US" w:eastAsia="zh-CN"/>
        </w:rPr>
      </w:pPr>
      <w:r>
        <w:rPr>
          <w:rFonts w:hint="eastAsia"/>
          <w:b/>
          <w:bCs/>
          <w:sz w:val="20"/>
          <w:szCs w:val="20"/>
          <w:lang w:val="en-US" w:eastAsia="zh-CN"/>
        </w:rPr>
        <w:t xml:space="preserve">Proposal 1: </w:t>
      </w:r>
      <w:r>
        <w:rPr>
          <w:rFonts w:hint="eastAsia"/>
          <w:b w:val="0"/>
          <w:bCs w:val="0"/>
          <w:sz w:val="20"/>
          <w:szCs w:val="20"/>
          <w:lang w:val="en-US" w:eastAsia="zh-CN"/>
        </w:rPr>
        <w:t>for the receiver intermodulation requirements, BS2BS CLI should be taken into account for power level for interference signal.</w:t>
      </w:r>
    </w:p>
    <w:p w14:paraId="5D4E62BD">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b w:val="0"/>
          <w:bCs w:val="0"/>
          <w:sz w:val="20"/>
          <w:szCs w:val="20"/>
          <w:lang w:val="en-US" w:eastAsia="zh-CN"/>
        </w:rPr>
      </w:pPr>
      <w:r>
        <w:rPr>
          <w:rFonts w:hint="eastAsia"/>
          <w:b/>
          <w:bCs/>
          <w:sz w:val="20"/>
          <w:szCs w:val="20"/>
          <w:lang w:val="en-US" w:eastAsia="zh-CN"/>
        </w:rPr>
        <w:t>Proposal 2:</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2.2.3-1.</w:t>
      </w:r>
    </w:p>
    <w:p w14:paraId="15B54242">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14:paraId="2269AC60">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lang w:val="en-US" w:eastAsia="zh-CN"/>
        </w:rPr>
      </w:pPr>
      <w:r>
        <w:rPr>
          <w:rFonts w:hint="eastAsia"/>
          <w:b/>
          <w:bCs/>
          <w:lang w:val="en-US" w:eastAsia="zh-CN"/>
        </w:rPr>
        <w:t>Proposal 3</w:t>
      </w:r>
      <w:r>
        <w:rPr>
          <w:rFonts w:hint="eastAsia"/>
          <w:lang w:val="en-US" w:eastAsia="zh-CN"/>
        </w:rPr>
        <w:t>: for FR1 WA SBFD BS, propose the in-band blocking level as -15dBm.</w:t>
      </w:r>
    </w:p>
    <w:p w14:paraId="3BC1AD0F">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14:paraId="006CD83B">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3:</w:t>
      </w:r>
      <w:r>
        <w:rPr>
          <w:rFonts w:hint="eastAsia"/>
          <w:lang w:val="en-US" w:eastAsia="zh-CN"/>
        </w:rPr>
        <w:t xml:space="preserve"> for Scenario 5 FR1 micro scenario, the received power under the 100% grid shift is still close to the existing requirement, however for the other grid shift assumption, the received power level (10% grid shift) are much higher than the existing IBB requirement -38dBm which would be quite challenging for SBFD BS to handle the receiver dynamic range together with the REFSENS requirements.</w:t>
      </w:r>
    </w:p>
    <w:p w14:paraId="5E2112E3">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lang w:val="en-US" w:eastAsia="zh-CN"/>
        </w:rPr>
      </w:pPr>
      <w:r>
        <w:rPr>
          <w:rFonts w:hint="eastAsia"/>
          <w:b/>
          <w:bCs/>
          <w:lang w:val="en-US" w:eastAsia="zh-CN"/>
        </w:rPr>
        <w:t>Proposal 4</w:t>
      </w:r>
      <w:r>
        <w:rPr>
          <w:rFonts w:hint="eastAsia"/>
          <w:lang w:val="en-US" w:eastAsia="zh-CN"/>
        </w:rPr>
        <w:t>: for FR1 MR SBFD, propose to define the in-band blocking requirement as -38dBm under the assumption of without any analog filtering design after the LNA of receiver chain which is close to 100% grid shift in the practical deployment.</w:t>
      </w:r>
    </w:p>
    <w:p w14:paraId="40270E40">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cs="Times New Roman"/>
          <w:sz w:val="20"/>
          <w:szCs w:val="20"/>
          <w:lang w:val="en-US" w:eastAsia="zh-CN"/>
        </w:rPr>
      </w:pPr>
      <w:r>
        <w:rPr>
          <w:rFonts w:hint="eastAsia"/>
          <w:b/>
          <w:bCs/>
          <w:lang w:val="en-US" w:eastAsia="zh-CN"/>
        </w:rPr>
        <w:t>Observation 4:</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14:paraId="0C9DE1BA">
      <w:pPr>
        <w:pStyle w:val="57"/>
        <w:tabs>
          <w:tab w:val="left" w:pos="567"/>
          <w:tab w:val="clear" w:pos="1985"/>
        </w:tabs>
        <w:adjustRightInd w:val="0"/>
        <w:ind w:left="510" w:hanging="510"/>
      </w:pPr>
      <w:r>
        <w:t>References</w:t>
      </w:r>
    </w:p>
    <w:p w14:paraId="4CC0A892">
      <w:pPr>
        <w:pStyle w:val="21"/>
        <w:numPr>
          <w:ilvl w:val="0"/>
          <w:numId w:val="4"/>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14:paraId="3174A290">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14:paraId="37219C6C">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14:paraId="3B3BABAD">
      <w:pPr>
        <w:pStyle w:val="21"/>
        <w:numPr>
          <w:ilvl w:val="0"/>
          <w:numId w:val="4"/>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t>R4-2409958</w:t>
      </w:r>
      <w:r>
        <w:rPr>
          <w:rStyle w:val="30"/>
          <w:rFonts w:hint="eastAsia" w:ascii="Times New Roman" w:hAnsi="Times New Roman" w:cs="Times New Roman"/>
          <w:color w:val="auto"/>
          <w:sz w:val="21"/>
          <w:szCs w:val="21"/>
          <w:shd w:val="clear" w:color="auto" w:fill="FFFFFF"/>
          <w:lang w:val="en-US" w:eastAsia="zh-CN"/>
        </w:rPr>
        <w:t>, Way forward for [111][313] NR_duplex_evo, Approved.</w:t>
      </w:r>
    </w:p>
    <w:p w14:paraId="166113FA">
      <w:pPr>
        <w:pStyle w:val="21"/>
        <w:numPr>
          <w:ilvl w:val="0"/>
          <w:numId w:val="4"/>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R4-2413515, Way Forward for [112][308] NR_duplex_evo_BSRF, Approved</w:t>
      </w:r>
    </w:p>
    <w:p w14:paraId="05429D26">
      <w:pPr>
        <w:pStyle w:val="21"/>
        <w:numPr>
          <w:ilvl w:val="0"/>
          <w:numId w:val="4"/>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R4-2502310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[114][306] NR_duplex_evo_General, approved.</w:t>
      </w:r>
    </w:p>
    <w:p w14:paraId="5E796218">
      <w:pPr>
        <w:pStyle w:val="21"/>
        <w:numPr>
          <w:ilvl w:val="0"/>
          <w:numId w:val="4"/>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R4-2502380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[114][307] NR_duplex_evo_BSRF, approved.</w:t>
      </w:r>
    </w:p>
    <w:p w14:paraId="65A23367">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14:paraId="2C0EA6BD">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14:paraId="00DF2728">
      <w:pPr>
        <w:pStyle w:val="21"/>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p>
    <w:p w14:paraId="7C62A162">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818958">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702979"/>
    <w:multiLevelType w:val="singleLevel"/>
    <w:tmpl w:val="41702979"/>
    <w:lvl w:ilvl="0" w:tentative="0">
      <w:start w:val="1"/>
      <w:numFmt w:val="decimal"/>
      <w:lvlText w:val="[%1]"/>
      <w:lvlJc w:val="left"/>
      <w:pPr>
        <w:tabs>
          <w:tab w:val="left" w:pos="312"/>
        </w:tabs>
      </w:pPr>
    </w:lvl>
  </w:abstractNum>
  <w:abstractNum w:abstractNumId="1">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2">
    <w:nsid w:val="5E5C4D0A"/>
    <w:multiLevelType w:val="multilevel"/>
    <w:tmpl w:val="5E5C4D0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Symbol" w:hAnsi="Symbol"/>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71E11E37"/>
    <w:multiLevelType w:val="multilevel"/>
    <w:tmpl w:val="71E11E3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BF8"/>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133"/>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043AA"/>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41109"/>
    <w:rsid w:val="020F4070"/>
    <w:rsid w:val="021042F2"/>
    <w:rsid w:val="02112AE3"/>
    <w:rsid w:val="021A2C38"/>
    <w:rsid w:val="021D2604"/>
    <w:rsid w:val="022533D4"/>
    <w:rsid w:val="02293A2A"/>
    <w:rsid w:val="022D5BF3"/>
    <w:rsid w:val="022F6559"/>
    <w:rsid w:val="022F66E0"/>
    <w:rsid w:val="023635A6"/>
    <w:rsid w:val="0238292F"/>
    <w:rsid w:val="023A0A2B"/>
    <w:rsid w:val="023E7088"/>
    <w:rsid w:val="0240545F"/>
    <w:rsid w:val="024C13AB"/>
    <w:rsid w:val="024C4285"/>
    <w:rsid w:val="02532AA9"/>
    <w:rsid w:val="025732DD"/>
    <w:rsid w:val="025C0F66"/>
    <w:rsid w:val="0262197E"/>
    <w:rsid w:val="026D13E1"/>
    <w:rsid w:val="027035EC"/>
    <w:rsid w:val="027B4322"/>
    <w:rsid w:val="02803683"/>
    <w:rsid w:val="028748E0"/>
    <w:rsid w:val="02892A7A"/>
    <w:rsid w:val="028A28CC"/>
    <w:rsid w:val="02927A98"/>
    <w:rsid w:val="029342BD"/>
    <w:rsid w:val="029D3139"/>
    <w:rsid w:val="02A12134"/>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50CB"/>
    <w:rsid w:val="030313BA"/>
    <w:rsid w:val="03142F2C"/>
    <w:rsid w:val="0315569B"/>
    <w:rsid w:val="031712C4"/>
    <w:rsid w:val="03186045"/>
    <w:rsid w:val="031967AA"/>
    <w:rsid w:val="031A5DF1"/>
    <w:rsid w:val="031E0FAC"/>
    <w:rsid w:val="031E4C95"/>
    <w:rsid w:val="03251730"/>
    <w:rsid w:val="03260F70"/>
    <w:rsid w:val="03267A0B"/>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20D4E"/>
    <w:rsid w:val="03B728E0"/>
    <w:rsid w:val="03C0647A"/>
    <w:rsid w:val="03C4766B"/>
    <w:rsid w:val="03C6618A"/>
    <w:rsid w:val="03C80D80"/>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E704D"/>
    <w:rsid w:val="041126FA"/>
    <w:rsid w:val="041875C1"/>
    <w:rsid w:val="04193A43"/>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6655F"/>
    <w:rsid w:val="04CD2C67"/>
    <w:rsid w:val="04D63DFE"/>
    <w:rsid w:val="04D66461"/>
    <w:rsid w:val="04D95F6F"/>
    <w:rsid w:val="04E06510"/>
    <w:rsid w:val="04ED5A99"/>
    <w:rsid w:val="04FB4499"/>
    <w:rsid w:val="04FF76AB"/>
    <w:rsid w:val="05010225"/>
    <w:rsid w:val="051034CD"/>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DD5554"/>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3A8C"/>
    <w:rsid w:val="064A35EA"/>
    <w:rsid w:val="064B521E"/>
    <w:rsid w:val="064C2727"/>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6451A"/>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1569"/>
    <w:rsid w:val="08942BDF"/>
    <w:rsid w:val="089852F1"/>
    <w:rsid w:val="08990610"/>
    <w:rsid w:val="089B5449"/>
    <w:rsid w:val="089D6B7D"/>
    <w:rsid w:val="08A03B5E"/>
    <w:rsid w:val="08A275F2"/>
    <w:rsid w:val="08A454C4"/>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127CF4"/>
    <w:rsid w:val="09157ADC"/>
    <w:rsid w:val="09157E5B"/>
    <w:rsid w:val="091C6E55"/>
    <w:rsid w:val="092073EA"/>
    <w:rsid w:val="092234B5"/>
    <w:rsid w:val="09226860"/>
    <w:rsid w:val="092275F6"/>
    <w:rsid w:val="09256630"/>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36F12"/>
    <w:rsid w:val="09670530"/>
    <w:rsid w:val="096913F9"/>
    <w:rsid w:val="096B264F"/>
    <w:rsid w:val="096B649C"/>
    <w:rsid w:val="096D7093"/>
    <w:rsid w:val="096F18AA"/>
    <w:rsid w:val="096F1D52"/>
    <w:rsid w:val="09713F26"/>
    <w:rsid w:val="0972140E"/>
    <w:rsid w:val="09773B45"/>
    <w:rsid w:val="097862A6"/>
    <w:rsid w:val="09796C44"/>
    <w:rsid w:val="097E56C1"/>
    <w:rsid w:val="098344BC"/>
    <w:rsid w:val="09846B33"/>
    <w:rsid w:val="098A1B59"/>
    <w:rsid w:val="098D22CE"/>
    <w:rsid w:val="098E64D3"/>
    <w:rsid w:val="09902C37"/>
    <w:rsid w:val="09957BB0"/>
    <w:rsid w:val="09972599"/>
    <w:rsid w:val="099D065B"/>
    <w:rsid w:val="099D22A1"/>
    <w:rsid w:val="09A545D9"/>
    <w:rsid w:val="09A64698"/>
    <w:rsid w:val="09A9204A"/>
    <w:rsid w:val="09AC5074"/>
    <w:rsid w:val="09AD07F3"/>
    <w:rsid w:val="09B14A34"/>
    <w:rsid w:val="09B91042"/>
    <w:rsid w:val="09B959E5"/>
    <w:rsid w:val="09BA1421"/>
    <w:rsid w:val="09BA5647"/>
    <w:rsid w:val="09BA5C5D"/>
    <w:rsid w:val="09C346F5"/>
    <w:rsid w:val="09C65D3C"/>
    <w:rsid w:val="09CA65A4"/>
    <w:rsid w:val="09CD6A58"/>
    <w:rsid w:val="09CD6EF5"/>
    <w:rsid w:val="09D34B3A"/>
    <w:rsid w:val="09D80B45"/>
    <w:rsid w:val="09DC463F"/>
    <w:rsid w:val="09E14486"/>
    <w:rsid w:val="09E4648F"/>
    <w:rsid w:val="09F1407D"/>
    <w:rsid w:val="09F21427"/>
    <w:rsid w:val="09F22A67"/>
    <w:rsid w:val="09F451E7"/>
    <w:rsid w:val="0A093274"/>
    <w:rsid w:val="0A0E6073"/>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6B70"/>
    <w:rsid w:val="0A4758B8"/>
    <w:rsid w:val="0A5056C6"/>
    <w:rsid w:val="0A5060D6"/>
    <w:rsid w:val="0A570EAE"/>
    <w:rsid w:val="0A5F4C2E"/>
    <w:rsid w:val="0A6B69C2"/>
    <w:rsid w:val="0A7200B0"/>
    <w:rsid w:val="0A741F08"/>
    <w:rsid w:val="0A771CA5"/>
    <w:rsid w:val="0A7A2F0F"/>
    <w:rsid w:val="0A7F11A2"/>
    <w:rsid w:val="0A7F4F37"/>
    <w:rsid w:val="0A843B9D"/>
    <w:rsid w:val="0A847B06"/>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A304B"/>
    <w:rsid w:val="0AFC521E"/>
    <w:rsid w:val="0AFE0751"/>
    <w:rsid w:val="0B0363ED"/>
    <w:rsid w:val="0B0569D0"/>
    <w:rsid w:val="0B110AC0"/>
    <w:rsid w:val="0B1157EF"/>
    <w:rsid w:val="0B1232AE"/>
    <w:rsid w:val="0B155EAD"/>
    <w:rsid w:val="0B1765E0"/>
    <w:rsid w:val="0B1A6D7A"/>
    <w:rsid w:val="0B1C1D7C"/>
    <w:rsid w:val="0B1D3582"/>
    <w:rsid w:val="0B22066E"/>
    <w:rsid w:val="0B2643BE"/>
    <w:rsid w:val="0B2B1908"/>
    <w:rsid w:val="0B2B7565"/>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6C148C"/>
    <w:rsid w:val="0B6F53AD"/>
    <w:rsid w:val="0B717521"/>
    <w:rsid w:val="0B7E2C63"/>
    <w:rsid w:val="0B8307A0"/>
    <w:rsid w:val="0B831B4A"/>
    <w:rsid w:val="0B841D24"/>
    <w:rsid w:val="0B851E07"/>
    <w:rsid w:val="0B857CF5"/>
    <w:rsid w:val="0B884E90"/>
    <w:rsid w:val="0B892782"/>
    <w:rsid w:val="0B936E39"/>
    <w:rsid w:val="0B9538BE"/>
    <w:rsid w:val="0B9B4AEA"/>
    <w:rsid w:val="0B9C0905"/>
    <w:rsid w:val="0B9C7B56"/>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B2ABC"/>
    <w:rsid w:val="0C0C632D"/>
    <w:rsid w:val="0C120111"/>
    <w:rsid w:val="0C12447E"/>
    <w:rsid w:val="0C1B1064"/>
    <w:rsid w:val="0C1D0A79"/>
    <w:rsid w:val="0C2C1AE5"/>
    <w:rsid w:val="0C37145B"/>
    <w:rsid w:val="0C3946F8"/>
    <w:rsid w:val="0C3C0AB0"/>
    <w:rsid w:val="0C4548E8"/>
    <w:rsid w:val="0C455380"/>
    <w:rsid w:val="0C4A725F"/>
    <w:rsid w:val="0C517DA1"/>
    <w:rsid w:val="0C52301A"/>
    <w:rsid w:val="0C573449"/>
    <w:rsid w:val="0C576E02"/>
    <w:rsid w:val="0C5D4AC0"/>
    <w:rsid w:val="0C5D74AF"/>
    <w:rsid w:val="0C6038EF"/>
    <w:rsid w:val="0C654C73"/>
    <w:rsid w:val="0C663BE3"/>
    <w:rsid w:val="0C6A1536"/>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76C1"/>
    <w:rsid w:val="0CB471A1"/>
    <w:rsid w:val="0CB90F2E"/>
    <w:rsid w:val="0CBB5A0F"/>
    <w:rsid w:val="0CCD3B1C"/>
    <w:rsid w:val="0CD648E3"/>
    <w:rsid w:val="0CE245F1"/>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03146"/>
    <w:rsid w:val="0D21615D"/>
    <w:rsid w:val="0D2454BF"/>
    <w:rsid w:val="0D263C61"/>
    <w:rsid w:val="0D2767B5"/>
    <w:rsid w:val="0D3E327E"/>
    <w:rsid w:val="0D3E50C9"/>
    <w:rsid w:val="0D432A3E"/>
    <w:rsid w:val="0D480AA9"/>
    <w:rsid w:val="0D4D56D6"/>
    <w:rsid w:val="0D5800C7"/>
    <w:rsid w:val="0D5B6E86"/>
    <w:rsid w:val="0D604B9B"/>
    <w:rsid w:val="0D631B23"/>
    <w:rsid w:val="0D63712E"/>
    <w:rsid w:val="0D647BCA"/>
    <w:rsid w:val="0D6A353C"/>
    <w:rsid w:val="0D771AFB"/>
    <w:rsid w:val="0D7969D7"/>
    <w:rsid w:val="0D826C81"/>
    <w:rsid w:val="0D845BD8"/>
    <w:rsid w:val="0D904522"/>
    <w:rsid w:val="0D976014"/>
    <w:rsid w:val="0D984EEB"/>
    <w:rsid w:val="0DA060E8"/>
    <w:rsid w:val="0DA21DEB"/>
    <w:rsid w:val="0DA57AAE"/>
    <w:rsid w:val="0DA67711"/>
    <w:rsid w:val="0DAA3101"/>
    <w:rsid w:val="0DAE2F9F"/>
    <w:rsid w:val="0DB44F15"/>
    <w:rsid w:val="0DB51551"/>
    <w:rsid w:val="0DB76EF8"/>
    <w:rsid w:val="0DB8079D"/>
    <w:rsid w:val="0DC80C38"/>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F0E9A"/>
    <w:rsid w:val="0E400D03"/>
    <w:rsid w:val="0E406D5C"/>
    <w:rsid w:val="0E454D4E"/>
    <w:rsid w:val="0E485C9B"/>
    <w:rsid w:val="0E4D4B22"/>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C11B24"/>
    <w:rsid w:val="0EC468A2"/>
    <w:rsid w:val="0EC80A18"/>
    <w:rsid w:val="0EC97E12"/>
    <w:rsid w:val="0ECA0784"/>
    <w:rsid w:val="0ECA2CF9"/>
    <w:rsid w:val="0ECC4066"/>
    <w:rsid w:val="0ECE7C5F"/>
    <w:rsid w:val="0ED12B32"/>
    <w:rsid w:val="0ED42F9E"/>
    <w:rsid w:val="0EDA48C8"/>
    <w:rsid w:val="0EDC5CD2"/>
    <w:rsid w:val="0EE77EDF"/>
    <w:rsid w:val="0EEC53AA"/>
    <w:rsid w:val="0EEE7BDE"/>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0931"/>
    <w:rsid w:val="0F3A630E"/>
    <w:rsid w:val="0F3B1C05"/>
    <w:rsid w:val="0F3B7D81"/>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BC5B35"/>
    <w:rsid w:val="0FC12836"/>
    <w:rsid w:val="0FC427AC"/>
    <w:rsid w:val="0FD95333"/>
    <w:rsid w:val="0FDD44E9"/>
    <w:rsid w:val="0FE0698F"/>
    <w:rsid w:val="0FEA3F98"/>
    <w:rsid w:val="0FEB0378"/>
    <w:rsid w:val="0FEC322B"/>
    <w:rsid w:val="0FEC6EF6"/>
    <w:rsid w:val="10036C5E"/>
    <w:rsid w:val="10045EE6"/>
    <w:rsid w:val="100476BF"/>
    <w:rsid w:val="10071FE5"/>
    <w:rsid w:val="100C1580"/>
    <w:rsid w:val="100D3B17"/>
    <w:rsid w:val="10145447"/>
    <w:rsid w:val="10154FE6"/>
    <w:rsid w:val="101F0E02"/>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A12DB1"/>
    <w:rsid w:val="10A27D57"/>
    <w:rsid w:val="10A342B4"/>
    <w:rsid w:val="10B4235C"/>
    <w:rsid w:val="10B7486E"/>
    <w:rsid w:val="10BD429D"/>
    <w:rsid w:val="10C40346"/>
    <w:rsid w:val="10C85160"/>
    <w:rsid w:val="10CC5735"/>
    <w:rsid w:val="10D679E0"/>
    <w:rsid w:val="10DF786B"/>
    <w:rsid w:val="10E2302E"/>
    <w:rsid w:val="10EC75B1"/>
    <w:rsid w:val="10F33CC1"/>
    <w:rsid w:val="10F90377"/>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C3CA8"/>
    <w:rsid w:val="114D3A1D"/>
    <w:rsid w:val="11514A9C"/>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E4F27"/>
    <w:rsid w:val="11F0307F"/>
    <w:rsid w:val="11F267E8"/>
    <w:rsid w:val="11F427FC"/>
    <w:rsid w:val="11FA2D7A"/>
    <w:rsid w:val="12066C25"/>
    <w:rsid w:val="12103122"/>
    <w:rsid w:val="1210456D"/>
    <w:rsid w:val="12134828"/>
    <w:rsid w:val="12143598"/>
    <w:rsid w:val="12166EF4"/>
    <w:rsid w:val="121729B6"/>
    <w:rsid w:val="12205406"/>
    <w:rsid w:val="12220941"/>
    <w:rsid w:val="122A31A9"/>
    <w:rsid w:val="122A6318"/>
    <w:rsid w:val="122C6138"/>
    <w:rsid w:val="12322148"/>
    <w:rsid w:val="123616D6"/>
    <w:rsid w:val="12396B0A"/>
    <w:rsid w:val="123A52C3"/>
    <w:rsid w:val="123C3AE0"/>
    <w:rsid w:val="123E01A2"/>
    <w:rsid w:val="123E0CDC"/>
    <w:rsid w:val="12497A85"/>
    <w:rsid w:val="125A02CC"/>
    <w:rsid w:val="12612BA4"/>
    <w:rsid w:val="126405F6"/>
    <w:rsid w:val="12653D4F"/>
    <w:rsid w:val="1265625F"/>
    <w:rsid w:val="127222F3"/>
    <w:rsid w:val="12727CAE"/>
    <w:rsid w:val="127D422E"/>
    <w:rsid w:val="12845278"/>
    <w:rsid w:val="12863AEA"/>
    <w:rsid w:val="128B7C40"/>
    <w:rsid w:val="128C036A"/>
    <w:rsid w:val="128E70AD"/>
    <w:rsid w:val="129535C1"/>
    <w:rsid w:val="129D41B7"/>
    <w:rsid w:val="12A26C65"/>
    <w:rsid w:val="12A45BB3"/>
    <w:rsid w:val="12A9130F"/>
    <w:rsid w:val="12AB0CA2"/>
    <w:rsid w:val="12AC51B9"/>
    <w:rsid w:val="12B1068C"/>
    <w:rsid w:val="12B371AD"/>
    <w:rsid w:val="12B43B19"/>
    <w:rsid w:val="12B5075C"/>
    <w:rsid w:val="12B54D74"/>
    <w:rsid w:val="12BC3C60"/>
    <w:rsid w:val="12C15F00"/>
    <w:rsid w:val="12C2679E"/>
    <w:rsid w:val="12C667C3"/>
    <w:rsid w:val="12C77089"/>
    <w:rsid w:val="12CB4026"/>
    <w:rsid w:val="12D16C9D"/>
    <w:rsid w:val="12D20E80"/>
    <w:rsid w:val="12D20ECB"/>
    <w:rsid w:val="12D93C20"/>
    <w:rsid w:val="12DD694C"/>
    <w:rsid w:val="12DF0C5E"/>
    <w:rsid w:val="12E302DA"/>
    <w:rsid w:val="12EC215C"/>
    <w:rsid w:val="12ED7EEF"/>
    <w:rsid w:val="12EE6AFD"/>
    <w:rsid w:val="12F538D3"/>
    <w:rsid w:val="12F85F0D"/>
    <w:rsid w:val="12F9530C"/>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1F5D75"/>
    <w:rsid w:val="13217B01"/>
    <w:rsid w:val="13253FC4"/>
    <w:rsid w:val="132625C2"/>
    <w:rsid w:val="132A7435"/>
    <w:rsid w:val="13322AD3"/>
    <w:rsid w:val="13394851"/>
    <w:rsid w:val="133B5756"/>
    <w:rsid w:val="134904A6"/>
    <w:rsid w:val="1357258A"/>
    <w:rsid w:val="135845C3"/>
    <w:rsid w:val="135F5E4E"/>
    <w:rsid w:val="136374E8"/>
    <w:rsid w:val="136D67BD"/>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9C5057"/>
    <w:rsid w:val="13A510A8"/>
    <w:rsid w:val="13A62921"/>
    <w:rsid w:val="13AB3B97"/>
    <w:rsid w:val="13B235FE"/>
    <w:rsid w:val="13B35E26"/>
    <w:rsid w:val="13B42C01"/>
    <w:rsid w:val="13B445AD"/>
    <w:rsid w:val="13B66BD2"/>
    <w:rsid w:val="13BF66BA"/>
    <w:rsid w:val="13C33227"/>
    <w:rsid w:val="13C66479"/>
    <w:rsid w:val="13CA31CB"/>
    <w:rsid w:val="13CD1105"/>
    <w:rsid w:val="13D1633A"/>
    <w:rsid w:val="13D27C86"/>
    <w:rsid w:val="13D765AD"/>
    <w:rsid w:val="13D90BC5"/>
    <w:rsid w:val="13D91947"/>
    <w:rsid w:val="13DC36E2"/>
    <w:rsid w:val="13DC4416"/>
    <w:rsid w:val="13DF775B"/>
    <w:rsid w:val="13E700A6"/>
    <w:rsid w:val="13ED51EC"/>
    <w:rsid w:val="13ED7CA3"/>
    <w:rsid w:val="13F22B81"/>
    <w:rsid w:val="13F41B61"/>
    <w:rsid w:val="13FD4FCC"/>
    <w:rsid w:val="13FE285E"/>
    <w:rsid w:val="1400502D"/>
    <w:rsid w:val="140D5E1A"/>
    <w:rsid w:val="1410395F"/>
    <w:rsid w:val="1411115B"/>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901B3"/>
    <w:rsid w:val="148B50C9"/>
    <w:rsid w:val="148C00A0"/>
    <w:rsid w:val="148D3653"/>
    <w:rsid w:val="149363B8"/>
    <w:rsid w:val="149E0A7B"/>
    <w:rsid w:val="14A75504"/>
    <w:rsid w:val="14A82A63"/>
    <w:rsid w:val="14A86EA4"/>
    <w:rsid w:val="14AC358C"/>
    <w:rsid w:val="14AD2764"/>
    <w:rsid w:val="14B227CC"/>
    <w:rsid w:val="14B76730"/>
    <w:rsid w:val="14C03686"/>
    <w:rsid w:val="14C42DC7"/>
    <w:rsid w:val="14C767C8"/>
    <w:rsid w:val="14DB1D1B"/>
    <w:rsid w:val="14DE753E"/>
    <w:rsid w:val="14E64628"/>
    <w:rsid w:val="14E81AD4"/>
    <w:rsid w:val="14E9198F"/>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D4A84"/>
    <w:rsid w:val="155424D6"/>
    <w:rsid w:val="155605E9"/>
    <w:rsid w:val="155B1745"/>
    <w:rsid w:val="155F651D"/>
    <w:rsid w:val="15655F19"/>
    <w:rsid w:val="156870BF"/>
    <w:rsid w:val="157348EB"/>
    <w:rsid w:val="157500D8"/>
    <w:rsid w:val="15787FE5"/>
    <w:rsid w:val="157E21FE"/>
    <w:rsid w:val="157E5AA6"/>
    <w:rsid w:val="157F4CD7"/>
    <w:rsid w:val="15870466"/>
    <w:rsid w:val="158709E9"/>
    <w:rsid w:val="1587411C"/>
    <w:rsid w:val="15880BD1"/>
    <w:rsid w:val="158C59BD"/>
    <w:rsid w:val="159332D7"/>
    <w:rsid w:val="15940459"/>
    <w:rsid w:val="159669D6"/>
    <w:rsid w:val="159859F4"/>
    <w:rsid w:val="15A80FDC"/>
    <w:rsid w:val="15AA7A19"/>
    <w:rsid w:val="15AC5259"/>
    <w:rsid w:val="15AE02B1"/>
    <w:rsid w:val="15AE46FA"/>
    <w:rsid w:val="15AE5475"/>
    <w:rsid w:val="15B06B12"/>
    <w:rsid w:val="15B21729"/>
    <w:rsid w:val="15B57648"/>
    <w:rsid w:val="15B75136"/>
    <w:rsid w:val="15BE3D9D"/>
    <w:rsid w:val="15BF3C27"/>
    <w:rsid w:val="15C02C76"/>
    <w:rsid w:val="15C4476E"/>
    <w:rsid w:val="15C61DCD"/>
    <w:rsid w:val="15D4474D"/>
    <w:rsid w:val="15D7597F"/>
    <w:rsid w:val="15E32BB5"/>
    <w:rsid w:val="15F45B34"/>
    <w:rsid w:val="15F53F0F"/>
    <w:rsid w:val="160A3803"/>
    <w:rsid w:val="160C437B"/>
    <w:rsid w:val="161033BE"/>
    <w:rsid w:val="16147F08"/>
    <w:rsid w:val="16160429"/>
    <w:rsid w:val="161C3234"/>
    <w:rsid w:val="16232935"/>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54FAF"/>
    <w:rsid w:val="16BA18A0"/>
    <w:rsid w:val="16BA7C07"/>
    <w:rsid w:val="16BD160C"/>
    <w:rsid w:val="16BE109A"/>
    <w:rsid w:val="16C066C7"/>
    <w:rsid w:val="16C2724F"/>
    <w:rsid w:val="16C41FCF"/>
    <w:rsid w:val="16C455CB"/>
    <w:rsid w:val="16D34826"/>
    <w:rsid w:val="16D359B1"/>
    <w:rsid w:val="16D550B0"/>
    <w:rsid w:val="16DC6856"/>
    <w:rsid w:val="16DD48E9"/>
    <w:rsid w:val="16E03A60"/>
    <w:rsid w:val="16E7220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1F30C5"/>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C704A"/>
    <w:rsid w:val="176E2C4A"/>
    <w:rsid w:val="177653C5"/>
    <w:rsid w:val="17781A92"/>
    <w:rsid w:val="1781705C"/>
    <w:rsid w:val="1782289D"/>
    <w:rsid w:val="17844C56"/>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4557D"/>
    <w:rsid w:val="17F55D04"/>
    <w:rsid w:val="17FB3B07"/>
    <w:rsid w:val="17FC272C"/>
    <w:rsid w:val="17FE0B0A"/>
    <w:rsid w:val="17FE0C9F"/>
    <w:rsid w:val="17FF3C9D"/>
    <w:rsid w:val="18020237"/>
    <w:rsid w:val="18024BDD"/>
    <w:rsid w:val="180A527C"/>
    <w:rsid w:val="18157481"/>
    <w:rsid w:val="181B3A35"/>
    <w:rsid w:val="182267FD"/>
    <w:rsid w:val="18235A20"/>
    <w:rsid w:val="18235E85"/>
    <w:rsid w:val="182F038D"/>
    <w:rsid w:val="18331DAD"/>
    <w:rsid w:val="18397C4D"/>
    <w:rsid w:val="183E4121"/>
    <w:rsid w:val="183F3DA9"/>
    <w:rsid w:val="184068C1"/>
    <w:rsid w:val="18420253"/>
    <w:rsid w:val="1848540C"/>
    <w:rsid w:val="18524B4C"/>
    <w:rsid w:val="18533B98"/>
    <w:rsid w:val="185546D2"/>
    <w:rsid w:val="18633981"/>
    <w:rsid w:val="18674D45"/>
    <w:rsid w:val="186B15D6"/>
    <w:rsid w:val="186C1DBE"/>
    <w:rsid w:val="186C5153"/>
    <w:rsid w:val="186E738D"/>
    <w:rsid w:val="186F36A8"/>
    <w:rsid w:val="187640ED"/>
    <w:rsid w:val="18804AA7"/>
    <w:rsid w:val="188228B1"/>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303E1"/>
    <w:rsid w:val="18D979C0"/>
    <w:rsid w:val="18DE1E44"/>
    <w:rsid w:val="18DE5861"/>
    <w:rsid w:val="18DF766E"/>
    <w:rsid w:val="18E611E1"/>
    <w:rsid w:val="18E67034"/>
    <w:rsid w:val="18E872D7"/>
    <w:rsid w:val="18E921AF"/>
    <w:rsid w:val="18EA68A3"/>
    <w:rsid w:val="18F06558"/>
    <w:rsid w:val="18F3471F"/>
    <w:rsid w:val="18F931E6"/>
    <w:rsid w:val="18FA042B"/>
    <w:rsid w:val="18FE4771"/>
    <w:rsid w:val="19031599"/>
    <w:rsid w:val="19046384"/>
    <w:rsid w:val="19065891"/>
    <w:rsid w:val="190B7170"/>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557A0"/>
    <w:rsid w:val="19764535"/>
    <w:rsid w:val="198374F4"/>
    <w:rsid w:val="1989194D"/>
    <w:rsid w:val="19894C83"/>
    <w:rsid w:val="198C5D06"/>
    <w:rsid w:val="19A4267A"/>
    <w:rsid w:val="19A7296F"/>
    <w:rsid w:val="19A83029"/>
    <w:rsid w:val="19AF232D"/>
    <w:rsid w:val="19B94DE5"/>
    <w:rsid w:val="19BB7983"/>
    <w:rsid w:val="19CA4702"/>
    <w:rsid w:val="19D01D27"/>
    <w:rsid w:val="19D21766"/>
    <w:rsid w:val="19D76F77"/>
    <w:rsid w:val="19DC3901"/>
    <w:rsid w:val="19DE7440"/>
    <w:rsid w:val="19E21C63"/>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51377F"/>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4487B"/>
    <w:rsid w:val="1A952EBF"/>
    <w:rsid w:val="1A960E81"/>
    <w:rsid w:val="1A972C69"/>
    <w:rsid w:val="1A9A0C93"/>
    <w:rsid w:val="1A9A12C1"/>
    <w:rsid w:val="1AA60B5B"/>
    <w:rsid w:val="1AB02AE4"/>
    <w:rsid w:val="1AB359A1"/>
    <w:rsid w:val="1ABD31B9"/>
    <w:rsid w:val="1ABF3A95"/>
    <w:rsid w:val="1AC20F7A"/>
    <w:rsid w:val="1AC91D4C"/>
    <w:rsid w:val="1ACE2A77"/>
    <w:rsid w:val="1ACE6E77"/>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868AA"/>
    <w:rsid w:val="1B0B3B20"/>
    <w:rsid w:val="1B1613A0"/>
    <w:rsid w:val="1B19722C"/>
    <w:rsid w:val="1B1F30D9"/>
    <w:rsid w:val="1B223C37"/>
    <w:rsid w:val="1B2A7E36"/>
    <w:rsid w:val="1B2F42C3"/>
    <w:rsid w:val="1B315167"/>
    <w:rsid w:val="1B324397"/>
    <w:rsid w:val="1B3462E9"/>
    <w:rsid w:val="1B372EB9"/>
    <w:rsid w:val="1B39636C"/>
    <w:rsid w:val="1B3C488F"/>
    <w:rsid w:val="1B40005E"/>
    <w:rsid w:val="1B4268B4"/>
    <w:rsid w:val="1B427936"/>
    <w:rsid w:val="1B5D3106"/>
    <w:rsid w:val="1B696F3E"/>
    <w:rsid w:val="1B73181B"/>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768CD"/>
    <w:rsid w:val="1BF92025"/>
    <w:rsid w:val="1BF9326D"/>
    <w:rsid w:val="1C036FDA"/>
    <w:rsid w:val="1C0730F3"/>
    <w:rsid w:val="1C08111C"/>
    <w:rsid w:val="1C092B9E"/>
    <w:rsid w:val="1C0A12E3"/>
    <w:rsid w:val="1C0B33CB"/>
    <w:rsid w:val="1C0D0258"/>
    <w:rsid w:val="1C0D60C9"/>
    <w:rsid w:val="1C17562C"/>
    <w:rsid w:val="1C1869A6"/>
    <w:rsid w:val="1C191CF6"/>
    <w:rsid w:val="1C206F70"/>
    <w:rsid w:val="1C242C80"/>
    <w:rsid w:val="1C277F90"/>
    <w:rsid w:val="1C33796F"/>
    <w:rsid w:val="1C341EE3"/>
    <w:rsid w:val="1C3E5B92"/>
    <w:rsid w:val="1C441419"/>
    <w:rsid w:val="1C466B97"/>
    <w:rsid w:val="1C4774DD"/>
    <w:rsid w:val="1C4A45C4"/>
    <w:rsid w:val="1C4B3310"/>
    <w:rsid w:val="1C561E66"/>
    <w:rsid w:val="1C5E3742"/>
    <w:rsid w:val="1C5F23B1"/>
    <w:rsid w:val="1C67631F"/>
    <w:rsid w:val="1C6B3493"/>
    <w:rsid w:val="1C6D07BF"/>
    <w:rsid w:val="1C6D4144"/>
    <w:rsid w:val="1C726EC3"/>
    <w:rsid w:val="1C793EB9"/>
    <w:rsid w:val="1C7B65E1"/>
    <w:rsid w:val="1C807142"/>
    <w:rsid w:val="1C90266F"/>
    <w:rsid w:val="1C9A166E"/>
    <w:rsid w:val="1C9C48A7"/>
    <w:rsid w:val="1CA16CCE"/>
    <w:rsid w:val="1CA4388D"/>
    <w:rsid w:val="1CAA7318"/>
    <w:rsid w:val="1CAB1830"/>
    <w:rsid w:val="1CAD2752"/>
    <w:rsid w:val="1CB702E9"/>
    <w:rsid w:val="1CBA5B32"/>
    <w:rsid w:val="1CBE0F85"/>
    <w:rsid w:val="1CBE5026"/>
    <w:rsid w:val="1CC1651E"/>
    <w:rsid w:val="1CCD6D74"/>
    <w:rsid w:val="1CD363DF"/>
    <w:rsid w:val="1CD8702E"/>
    <w:rsid w:val="1CD97139"/>
    <w:rsid w:val="1CE13063"/>
    <w:rsid w:val="1CE2616E"/>
    <w:rsid w:val="1CF15683"/>
    <w:rsid w:val="1CF333A5"/>
    <w:rsid w:val="1CF53F65"/>
    <w:rsid w:val="1CF73767"/>
    <w:rsid w:val="1CFA57E6"/>
    <w:rsid w:val="1D023336"/>
    <w:rsid w:val="1D031DDA"/>
    <w:rsid w:val="1D0B731D"/>
    <w:rsid w:val="1D163452"/>
    <w:rsid w:val="1D1D6A68"/>
    <w:rsid w:val="1D1F1D0C"/>
    <w:rsid w:val="1D2054C4"/>
    <w:rsid w:val="1D24658B"/>
    <w:rsid w:val="1D2D7E40"/>
    <w:rsid w:val="1D2E77E8"/>
    <w:rsid w:val="1D457CE9"/>
    <w:rsid w:val="1D4969F4"/>
    <w:rsid w:val="1D4C117F"/>
    <w:rsid w:val="1D513E68"/>
    <w:rsid w:val="1D563E2F"/>
    <w:rsid w:val="1D5A17CD"/>
    <w:rsid w:val="1D5A3689"/>
    <w:rsid w:val="1D6033FE"/>
    <w:rsid w:val="1D643798"/>
    <w:rsid w:val="1D684015"/>
    <w:rsid w:val="1D6B5AD7"/>
    <w:rsid w:val="1D6F79AF"/>
    <w:rsid w:val="1D7877C5"/>
    <w:rsid w:val="1D7C6E19"/>
    <w:rsid w:val="1D8F5B72"/>
    <w:rsid w:val="1D8F6826"/>
    <w:rsid w:val="1D8F6DA9"/>
    <w:rsid w:val="1D9B69B7"/>
    <w:rsid w:val="1D9C5DA0"/>
    <w:rsid w:val="1D9C7126"/>
    <w:rsid w:val="1D9F462B"/>
    <w:rsid w:val="1DA1442D"/>
    <w:rsid w:val="1DA265B5"/>
    <w:rsid w:val="1DB26ED0"/>
    <w:rsid w:val="1DB835A9"/>
    <w:rsid w:val="1DC254A8"/>
    <w:rsid w:val="1DC603E1"/>
    <w:rsid w:val="1DCE1ECB"/>
    <w:rsid w:val="1DD85EF7"/>
    <w:rsid w:val="1DEC45ED"/>
    <w:rsid w:val="1DF0665E"/>
    <w:rsid w:val="1DF2745E"/>
    <w:rsid w:val="1DF71982"/>
    <w:rsid w:val="1DF8498F"/>
    <w:rsid w:val="1E02615D"/>
    <w:rsid w:val="1E093D7D"/>
    <w:rsid w:val="1E143B97"/>
    <w:rsid w:val="1E183872"/>
    <w:rsid w:val="1E1D7E95"/>
    <w:rsid w:val="1E201A27"/>
    <w:rsid w:val="1E20419F"/>
    <w:rsid w:val="1E224747"/>
    <w:rsid w:val="1E2B2F2B"/>
    <w:rsid w:val="1E304B88"/>
    <w:rsid w:val="1E377B48"/>
    <w:rsid w:val="1E382012"/>
    <w:rsid w:val="1E3E02E7"/>
    <w:rsid w:val="1E6703B7"/>
    <w:rsid w:val="1E680B85"/>
    <w:rsid w:val="1E6B2336"/>
    <w:rsid w:val="1E712925"/>
    <w:rsid w:val="1E7845CD"/>
    <w:rsid w:val="1E8028A0"/>
    <w:rsid w:val="1E8261B5"/>
    <w:rsid w:val="1E8B032D"/>
    <w:rsid w:val="1E8B7AD0"/>
    <w:rsid w:val="1E8E3E30"/>
    <w:rsid w:val="1E9242EB"/>
    <w:rsid w:val="1E9D2018"/>
    <w:rsid w:val="1E9D4737"/>
    <w:rsid w:val="1E9D55A8"/>
    <w:rsid w:val="1EA11D29"/>
    <w:rsid w:val="1EA13E87"/>
    <w:rsid w:val="1EA53D75"/>
    <w:rsid w:val="1EA55EAE"/>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F0D14F3"/>
    <w:rsid w:val="1F0E3B92"/>
    <w:rsid w:val="1F120D07"/>
    <w:rsid w:val="1F141EF2"/>
    <w:rsid w:val="1F280D38"/>
    <w:rsid w:val="1F303EA7"/>
    <w:rsid w:val="1F30637A"/>
    <w:rsid w:val="1F3111CE"/>
    <w:rsid w:val="1F323579"/>
    <w:rsid w:val="1F3C6AF7"/>
    <w:rsid w:val="1F405E44"/>
    <w:rsid w:val="1F4A3D83"/>
    <w:rsid w:val="1F4E681F"/>
    <w:rsid w:val="1F5174F6"/>
    <w:rsid w:val="1F5324C1"/>
    <w:rsid w:val="1F561E2A"/>
    <w:rsid w:val="1F5E088A"/>
    <w:rsid w:val="1F5F1E2B"/>
    <w:rsid w:val="1F661994"/>
    <w:rsid w:val="1F672A0E"/>
    <w:rsid w:val="1F6833F6"/>
    <w:rsid w:val="1F68659A"/>
    <w:rsid w:val="1F7959F4"/>
    <w:rsid w:val="1F7C19E4"/>
    <w:rsid w:val="1F83562C"/>
    <w:rsid w:val="1F8653B7"/>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52C83"/>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23F42"/>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C6945"/>
    <w:rsid w:val="20CF2597"/>
    <w:rsid w:val="20D178AD"/>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263B9"/>
    <w:rsid w:val="2163647D"/>
    <w:rsid w:val="216C54DE"/>
    <w:rsid w:val="216E4095"/>
    <w:rsid w:val="217106CC"/>
    <w:rsid w:val="217A7539"/>
    <w:rsid w:val="217C7971"/>
    <w:rsid w:val="217D44BC"/>
    <w:rsid w:val="21840F69"/>
    <w:rsid w:val="21846D78"/>
    <w:rsid w:val="218F61F1"/>
    <w:rsid w:val="21936BCB"/>
    <w:rsid w:val="219619F8"/>
    <w:rsid w:val="219842E4"/>
    <w:rsid w:val="21997056"/>
    <w:rsid w:val="219B2AEE"/>
    <w:rsid w:val="219B78F1"/>
    <w:rsid w:val="219D3F2A"/>
    <w:rsid w:val="21A169D8"/>
    <w:rsid w:val="21AA5245"/>
    <w:rsid w:val="21AB4F6A"/>
    <w:rsid w:val="21AB77F7"/>
    <w:rsid w:val="21AC4ECC"/>
    <w:rsid w:val="21AD30AE"/>
    <w:rsid w:val="21B50781"/>
    <w:rsid w:val="21B87C47"/>
    <w:rsid w:val="21BF03BC"/>
    <w:rsid w:val="21BF480E"/>
    <w:rsid w:val="21C05C8D"/>
    <w:rsid w:val="21C447A5"/>
    <w:rsid w:val="21C95428"/>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C1E49"/>
    <w:rsid w:val="22680B07"/>
    <w:rsid w:val="22681A0E"/>
    <w:rsid w:val="226E20BA"/>
    <w:rsid w:val="22713317"/>
    <w:rsid w:val="227818DB"/>
    <w:rsid w:val="227C1046"/>
    <w:rsid w:val="227D6059"/>
    <w:rsid w:val="227F5037"/>
    <w:rsid w:val="228041D7"/>
    <w:rsid w:val="228A008B"/>
    <w:rsid w:val="228A2082"/>
    <w:rsid w:val="228D63FC"/>
    <w:rsid w:val="229A7E25"/>
    <w:rsid w:val="229D01C1"/>
    <w:rsid w:val="229F1B2B"/>
    <w:rsid w:val="229F462B"/>
    <w:rsid w:val="22A72B65"/>
    <w:rsid w:val="22AA0362"/>
    <w:rsid w:val="22AA773F"/>
    <w:rsid w:val="22B059F5"/>
    <w:rsid w:val="22B06BDB"/>
    <w:rsid w:val="22B13B14"/>
    <w:rsid w:val="22B21CAB"/>
    <w:rsid w:val="22B374CA"/>
    <w:rsid w:val="22B63FB8"/>
    <w:rsid w:val="22B87831"/>
    <w:rsid w:val="22BA2D5C"/>
    <w:rsid w:val="22BA6F2B"/>
    <w:rsid w:val="22BC7DF2"/>
    <w:rsid w:val="22BD19A6"/>
    <w:rsid w:val="22BD504B"/>
    <w:rsid w:val="22D41540"/>
    <w:rsid w:val="22D5515C"/>
    <w:rsid w:val="22D61781"/>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B02460"/>
    <w:rsid w:val="23B94969"/>
    <w:rsid w:val="23BD6F6C"/>
    <w:rsid w:val="23BF30A4"/>
    <w:rsid w:val="23C62FD3"/>
    <w:rsid w:val="23C80F4A"/>
    <w:rsid w:val="23CA1E9A"/>
    <w:rsid w:val="23CE2F9E"/>
    <w:rsid w:val="23CE5D21"/>
    <w:rsid w:val="23D160BB"/>
    <w:rsid w:val="23D2612A"/>
    <w:rsid w:val="23D33566"/>
    <w:rsid w:val="23D53925"/>
    <w:rsid w:val="23D9762E"/>
    <w:rsid w:val="23DF2C6B"/>
    <w:rsid w:val="23E173A1"/>
    <w:rsid w:val="23E3610D"/>
    <w:rsid w:val="23E52298"/>
    <w:rsid w:val="23E94462"/>
    <w:rsid w:val="23F06611"/>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D6C3D"/>
    <w:rsid w:val="255E0BEA"/>
    <w:rsid w:val="25627A70"/>
    <w:rsid w:val="256343AC"/>
    <w:rsid w:val="25645072"/>
    <w:rsid w:val="256777BF"/>
    <w:rsid w:val="25771B32"/>
    <w:rsid w:val="257C1A72"/>
    <w:rsid w:val="257C2374"/>
    <w:rsid w:val="257C76CA"/>
    <w:rsid w:val="257F18B5"/>
    <w:rsid w:val="25805FF5"/>
    <w:rsid w:val="25880457"/>
    <w:rsid w:val="258A3283"/>
    <w:rsid w:val="258E5E2C"/>
    <w:rsid w:val="258E66DC"/>
    <w:rsid w:val="258F15BB"/>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60054CC"/>
    <w:rsid w:val="26071C55"/>
    <w:rsid w:val="260A55DA"/>
    <w:rsid w:val="260B255C"/>
    <w:rsid w:val="2611495B"/>
    <w:rsid w:val="2618762A"/>
    <w:rsid w:val="26213859"/>
    <w:rsid w:val="26217848"/>
    <w:rsid w:val="2625247E"/>
    <w:rsid w:val="262E20E8"/>
    <w:rsid w:val="262E34C1"/>
    <w:rsid w:val="26387022"/>
    <w:rsid w:val="263E0775"/>
    <w:rsid w:val="2640682F"/>
    <w:rsid w:val="26420E4C"/>
    <w:rsid w:val="26472F6E"/>
    <w:rsid w:val="264929BD"/>
    <w:rsid w:val="264F2FA3"/>
    <w:rsid w:val="26510DB8"/>
    <w:rsid w:val="26531A21"/>
    <w:rsid w:val="265A4DDA"/>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A04BC"/>
    <w:rsid w:val="26AC5BFD"/>
    <w:rsid w:val="26B31383"/>
    <w:rsid w:val="26B9766D"/>
    <w:rsid w:val="26BA59F2"/>
    <w:rsid w:val="26BD1ECD"/>
    <w:rsid w:val="26C36DE5"/>
    <w:rsid w:val="26C9404D"/>
    <w:rsid w:val="26CD53A8"/>
    <w:rsid w:val="26D323BB"/>
    <w:rsid w:val="26D45590"/>
    <w:rsid w:val="26DB67F4"/>
    <w:rsid w:val="26E53AE2"/>
    <w:rsid w:val="26EA1D87"/>
    <w:rsid w:val="26EB2849"/>
    <w:rsid w:val="26EB45E1"/>
    <w:rsid w:val="26F017B3"/>
    <w:rsid w:val="26F40E3F"/>
    <w:rsid w:val="26F40EBD"/>
    <w:rsid w:val="26F85687"/>
    <w:rsid w:val="26F973AB"/>
    <w:rsid w:val="26FA2DE3"/>
    <w:rsid w:val="26FF74CD"/>
    <w:rsid w:val="27003A4A"/>
    <w:rsid w:val="270404E8"/>
    <w:rsid w:val="27125B0D"/>
    <w:rsid w:val="27127C7A"/>
    <w:rsid w:val="27130E1A"/>
    <w:rsid w:val="271A3CFE"/>
    <w:rsid w:val="27222699"/>
    <w:rsid w:val="27240467"/>
    <w:rsid w:val="2725701D"/>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24672"/>
    <w:rsid w:val="27744B4E"/>
    <w:rsid w:val="277A5E6A"/>
    <w:rsid w:val="278A6416"/>
    <w:rsid w:val="279408D2"/>
    <w:rsid w:val="279A2ED3"/>
    <w:rsid w:val="27A23025"/>
    <w:rsid w:val="27A46397"/>
    <w:rsid w:val="27AD6AF5"/>
    <w:rsid w:val="27B02558"/>
    <w:rsid w:val="27B027C6"/>
    <w:rsid w:val="27B03EC1"/>
    <w:rsid w:val="27B91021"/>
    <w:rsid w:val="27BA3133"/>
    <w:rsid w:val="27C06D17"/>
    <w:rsid w:val="27C66099"/>
    <w:rsid w:val="27CA7CDA"/>
    <w:rsid w:val="27D112AE"/>
    <w:rsid w:val="27D30EC2"/>
    <w:rsid w:val="27DF1D24"/>
    <w:rsid w:val="27E1545A"/>
    <w:rsid w:val="27E30D7E"/>
    <w:rsid w:val="27E43C95"/>
    <w:rsid w:val="27F20EFC"/>
    <w:rsid w:val="27FB11A8"/>
    <w:rsid w:val="27FE4240"/>
    <w:rsid w:val="27FF2D7D"/>
    <w:rsid w:val="280008FF"/>
    <w:rsid w:val="28050D91"/>
    <w:rsid w:val="280A73A7"/>
    <w:rsid w:val="280B0292"/>
    <w:rsid w:val="281035C6"/>
    <w:rsid w:val="28140E2A"/>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1374C"/>
    <w:rsid w:val="28821314"/>
    <w:rsid w:val="288C2E20"/>
    <w:rsid w:val="2891501A"/>
    <w:rsid w:val="28937E6D"/>
    <w:rsid w:val="289C154A"/>
    <w:rsid w:val="28A66523"/>
    <w:rsid w:val="28AD2029"/>
    <w:rsid w:val="28AE4FA7"/>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B682D"/>
    <w:rsid w:val="291C432F"/>
    <w:rsid w:val="291D21EF"/>
    <w:rsid w:val="291F738B"/>
    <w:rsid w:val="29264B1F"/>
    <w:rsid w:val="29270605"/>
    <w:rsid w:val="292A140D"/>
    <w:rsid w:val="292A375F"/>
    <w:rsid w:val="29316984"/>
    <w:rsid w:val="293310A0"/>
    <w:rsid w:val="293617A1"/>
    <w:rsid w:val="2938092A"/>
    <w:rsid w:val="293955A6"/>
    <w:rsid w:val="293966D9"/>
    <w:rsid w:val="29425246"/>
    <w:rsid w:val="2946144E"/>
    <w:rsid w:val="2946760C"/>
    <w:rsid w:val="29485EB7"/>
    <w:rsid w:val="29487D92"/>
    <w:rsid w:val="294A5BC8"/>
    <w:rsid w:val="29504176"/>
    <w:rsid w:val="29512FCE"/>
    <w:rsid w:val="29521EA0"/>
    <w:rsid w:val="29572948"/>
    <w:rsid w:val="296865F6"/>
    <w:rsid w:val="296B20A7"/>
    <w:rsid w:val="297D1A8B"/>
    <w:rsid w:val="29817476"/>
    <w:rsid w:val="29981CF5"/>
    <w:rsid w:val="299C6B98"/>
    <w:rsid w:val="29A4634A"/>
    <w:rsid w:val="29A84DD1"/>
    <w:rsid w:val="29A95FC5"/>
    <w:rsid w:val="29AA2390"/>
    <w:rsid w:val="29AF709B"/>
    <w:rsid w:val="29B23BCE"/>
    <w:rsid w:val="29B301F6"/>
    <w:rsid w:val="29B85AFC"/>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317FC"/>
    <w:rsid w:val="2A770CC7"/>
    <w:rsid w:val="2A7A022E"/>
    <w:rsid w:val="2A7B6C4A"/>
    <w:rsid w:val="2A7E1E12"/>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7E52A9"/>
    <w:rsid w:val="2B8311DA"/>
    <w:rsid w:val="2B8759DF"/>
    <w:rsid w:val="2B8B2FAB"/>
    <w:rsid w:val="2B8B34AB"/>
    <w:rsid w:val="2B914C5E"/>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C02CD"/>
    <w:rsid w:val="2BDF4442"/>
    <w:rsid w:val="2BE64A3E"/>
    <w:rsid w:val="2BE87761"/>
    <w:rsid w:val="2BEC4F7F"/>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07A37"/>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A28D3"/>
    <w:rsid w:val="2CA37709"/>
    <w:rsid w:val="2CBC4209"/>
    <w:rsid w:val="2CC12D54"/>
    <w:rsid w:val="2CC9742A"/>
    <w:rsid w:val="2CCB3003"/>
    <w:rsid w:val="2CD17849"/>
    <w:rsid w:val="2CD465A8"/>
    <w:rsid w:val="2CD47078"/>
    <w:rsid w:val="2CDA4FDA"/>
    <w:rsid w:val="2CDC7091"/>
    <w:rsid w:val="2CE128DC"/>
    <w:rsid w:val="2CE16D71"/>
    <w:rsid w:val="2CE27F26"/>
    <w:rsid w:val="2CED6828"/>
    <w:rsid w:val="2CF4201A"/>
    <w:rsid w:val="2CF8269C"/>
    <w:rsid w:val="2CFD5C64"/>
    <w:rsid w:val="2D0128E8"/>
    <w:rsid w:val="2D0450C7"/>
    <w:rsid w:val="2D09498E"/>
    <w:rsid w:val="2D0C5A2F"/>
    <w:rsid w:val="2D0E231B"/>
    <w:rsid w:val="2D145154"/>
    <w:rsid w:val="2D1A1A6B"/>
    <w:rsid w:val="2D1A4915"/>
    <w:rsid w:val="2D1C670F"/>
    <w:rsid w:val="2D210212"/>
    <w:rsid w:val="2D306B85"/>
    <w:rsid w:val="2D313196"/>
    <w:rsid w:val="2D323D75"/>
    <w:rsid w:val="2D3C3D7E"/>
    <w:rsid w:val="2D3F06B2"/>
    <w:rsid w:val="2D400A9F"/>
    <w:rsid w:val="2D540857"/>
    <w:rsid w:val="2D590555"/>
    <w:rsid w:val="2D677800"/>
    <w:rsid w:val="2D726428"/>
    <w:rsid w:val="2D770975"/>
    <w:rsid w:val="2D7A06F1"/>
    <w:rsid w:val="2D7D3301"/>
    <w:rsid w:val="2D8151A4"/>
    <w:rsid w:val="2D821D81"/>
    <w:rsid w:val="2DA02E9C"/>
    <w:rsid w:val="2DAC4521"/>
    <w:rsid w:val="2DBB1852"/>
    <w:rsid w:val="2DBF0C3E"/>
    <w:rsid w:val="2DBF1601"/>
    <w:rsid w:val="2DBF44A4"/>
    <w:rsid w:val="2DBF4C3A"/>
    <w:rsid w:val="2DC04981"/>
    <w:rsid w:val="2DC464AC"/>
    <w:rsid w:val="2DD06A7C"/>
    <w:rsid w:val="2DD06AF3"/>
    <w:rsid w:val="2DDD1D4C"/>
    <w:rsid w:val="2DE0754F"/>
    <w:rsid w:val="2DE10EB0"/>
    <w:rsid w:val="2DE527DB"/>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806DD"/>
    <w:rsid w:val="2E2A4425"/>
    <w:rsid w:val="2E2F3046"/>
    <w:rsid w:val="2E302808"/>
    <w:rsid w:val="2E3518B7"/>
    <w:rsid w:val="2E3A3030"/>
    <w:rsid w:val="2E3C084B"/>
    <w:rsid w:val="2E46069F"/>
    <w:rsid w:val="2E4B21B3"/>
    <w:rsid w:val="2E553370"/>
    <w:rsid w:val="2E5608F9"/>
    <w:rsid w:val="2E570E04"/>
    <w:rsid w:val="2E59206F"/>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D23D3"/>
    <w:rsid w:val="2E8E24C6"/>
    <w:rsid w:val="2E8F09A4"/>
    <w:rsid w:val="2E914A07"/>
    <w:rsid w:val="2E993370"/>
    <w:rsid w:val="2E9A086A"/>
    <w:rsid w:val="2E9A69ED"/>
    <w:rsid w:val="2E9B22A9"/>
    <w:rsid w:val="2E9C368F"/>
    <w:rsid w:val="2EA049A8"/>
    <w:rsid w:val="2EA26ABE"/>
    <w:rsid w:val="2EA72F10"/>
    <w:rsid w:val="2EA74B75"/>
    <w:rsid w:val="2EB61295"/>
    <w:rsid w:val="2EB941A6"/>
    <w:rsid w:val="2EC414ED"/>
    <w:rsid w:val="2EC71A13"/>
    <w:rsid w:val="2EC722DC"/>
    <w:rsid w:val="2EC9437A"/>
    <w:rsid w:val="2ECB4CA1"/>
    <w:rsid w:val="2EDC714E"/>
    <w:rsid w:val="2EE351E2"/>
    <w:rsid w:val="2EEA307E"/>
    <w:rsid w:val="2EEF6737"/>
    <w:rsid w:val="2EF171CF"/>
    <w:rsid w:val="2EF276DC"/>
    <w:rsid w:val="2EF53C20"/>
    <w:rsid w:val="2EFC5DDD"/>
    <w:rsid w:val="2F002CCF"/>
    <w:rsid w:val="2F0160A3"/>
    <w:rsid w:val="2F18561C"/>
    <w:rsid w:val="2F1A491A"/>
    <w:rsid w:val="2F1C3DF5"/>
    <w:rsid w:val="2F284812"/>
    <w:rsid w:val="2F2960CC"/>
    <w:rsid w:val="2F2F3D52"/>
    <w:rsid w:val="2F3B7B8B"/>
    <w:rsid w:val="2F3D481A"/>
    <w:rsid w:val="2F407763"/>
    <w:rsid w:val="2F417C99"/>
    <w:rsid w:val="2F44254B"/>
    <w:rsid w:val="2F4530B9"/>
    <w:rsid w:val="2F4B7821"/>
    <w:rsid w:val="2F4D774F"/>
    <w:rsid w:val="2F526911"/>
    <w:rsid w:val="2F5741FD"/>
    <w:rsid w:val="2F57587A"/>
    <w:rsid w:val="2F59227E"/>
    <w:rsid w:val="2F5A3D1D"/>
    <w:rsid w:val="2F5E1A24"/>
    <w:rsid w:val="2F615954"/>
    <w:rsid w:val="2F6324D7"/>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6643E"/>
    <w:rsid w:val="2FCA0967"/>
    <w:rsid w:val="2FCE6A6F"/>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2736A"/>
    <w:rsid w:val="3045713F"/>
    <w:rsid w:val="30486EA7"/>
    <w:rsid w:val="30500A5C"/>
    <w:rsid w:val="305447A9"/>
    <w:rsid w:val="305F558E"/>
    <w:rsid w:val="306B4848"/>
    <w:rsid w:val="30752E77"/>
    <w:rsid w:val="308018A6"/>
    <w:rsid w:val="30804E19"/>
    <w:rsid w:val="3082583C"/>
    <w:rsid w:val="3090288F"/>
    <w:rsid w:val="309B0CFB"/>
    <w:rsid w:val="309B2EEC"/>
    <w:rsid w:val="309E4272"/>
    <w:rsid w:val="30A12956"/>
    <w:rsid w:val="30AE56DC"/>
    <w:rsid w:val="30B7307E"/>
    <w:rsid w:val="30BB5407"/>
    <w:rsid w:val="30BF034E"/>
    <w:rsid w:val="30C21A0E"/>
    <w:rsid w:val="30C65287"/>
    <w:rsid w:val="30C83BAA"/>
    <w:rsid w:val="30CA3D76"/>
    <w:rsid w:val="30DC45E8"/>
    <w:rsid w:val="30DD6027"/>
    <w:rsid w:val="30DE16AB"/>
    <w:rsid w:val="30E1221A"/>
    <w:rsid w:val="30E734EF"/>
    <w:rsid w:val="30F24AB3"/>
    <w:rsid w:val="30F44A95"/>
    <w:rsid w:val="30F77A98"/>
    <w:rsid w:val="30FA21D8"/>
    <w:rsid w:val="30FA7BCF"/>
    <w:rsid w:val="30FC2A23"/>
    <w:rsid w:val="31154308"/>
    <w:rsid w:val="31172428"/>
    <w:rsid w:val="31197ABC"/>
    <w:rsid w:val="311D5B14"/>
    <w:rsid w:val="312723F9"/>
    <w:rsid w:val="312D0545"/>
    <w:rsid w:val="312D1F98"/>
    <w:rsid w:val="3136546A"/>
    <w:rsid w:val="31391C98"/>
    <w:rsid w:val="313A7B85"/>
    <w:rsid w:val="313E22A6"/>
    <w:rsid w:val="31412F85"/>
    <w:rsid w:val="31454E97"/>
    <w:rsid w:val="314A019C"/>
    <w:rsid w:val="314E27D6"/>
    <w:rsid w:val="31514FC5"/>
    <w:rsid w:val="31520047"/>
    <w:rsid w:val="31584385"/>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120F1"/>
    <w:rsid w:val="319268E9"/>
    <w:rsid w:val="319377B4"/>
    <w:rsid w:val="319B3834"/>
    <w:rsid w:val="319D6381"/>
    <w:rsid w:val="31A53A0B"/>
    <w:rsid w:val="31A7307B"/>
    <w:rsid w:val="31A94576"/>
    <w:rsid w:val="31AC04E5"/>
    <w:rsid w:val="31AC2EA3"/>
    <w:rsid w:val="31B23BA8"/>
    <w:rsid w:val="31C363A1"/>
    <w:rsid w:val="31CA5CF8"/>
    <w:rsid w:val="31CB26CD"/>
    <w:rsid w:val="31CF2CD1"/>
    <w:rsid w:val="31D06A52"/>
    <w:rsid w:val="31D216CC"/>
    <w:rsid w:val="31E302B9"/>
    <w:rsid w:val="31E83A8A"/>
    <w:rsid w:val="31EE4B36"/>
    <w:rsid w:val="31F20023"/>
    <w:rsid w:val="31F31FF7"/>
    <w:rsid w:val="31F52FE4"/>
    <w:rsid w:val="31F536F7"/>
    <w:rsid w:val="31FA7AEE"/>
    <w:rsid w:val="31FB60C5"/>
    <w:rsid w:val="3209100C"/>
    <w:rsid w:val="320D52C8"/>
    <w:rsid w:val="32117981"/>
    <w:rsid w:val="321E250B"/>
    <w:rsid w:val="32226597"/>
    <w:rsid w:val="322A5516"/>
    <w:rsid w:val="322B6C88"/>
    <w:rsid w:val="322C6DC4"/>
    <w:rsid w:val="3238698E"/>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EF035A"/>
    <w:rsid w:val="32F76D5D"/>
    <w:rsid w:val="32F86450"/>
    <w:rsid w:val="330066D7"/>
    <w:rsid w:val="33015240"/>
    <w:rsid w:val="330244A4"/>
    <w:rsid w:val="3304026E"/>
    <w:rsid w:val="33066388"/>
    <w:rsid w:val="330F1E44"/>
    <w:rsid w:val="331747E7"/>
    <w:rsid w:val="331B37C6"/>
    <w:rsid w:val="331C390F"/>
    <w:rsid w:val="33222F7E"/>
    <w:rsid w:val="333A0536"/>
    <w:rsid w:val="333C7D6C"/>
    <w:rsid w:val="333E0FE1"/>
    <w:rsid w:val="333F4C47"/>
    <w:rsid w:val="333F6941"/>
    <w:rsid w:val="334D7767"/>
    <w:rsid w:val="33522CBE"/>
    <w:rsid w:val="33605193"/>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7281E"/>
    <w:rsid w:val="339902E6"/>
    <w:rsid w:val="339D35FC"/>
    <w:rsid w:val="339F04B3"/>
    <w:rsid w:val="33A156DE"/>
    <w:rsid w:val="33B14536"/>
    <w:rsid w:val="33B52233"/>
    <w:rsid w:val="33B70359"/>
    <w:rsid w:val="33BA1B32"/>
    <w:rsid w:val="33BF7141"/>
    <w:rsid w:val="33C53157"/>
    <w:rsid w:val="33CB205A"/>
    <w:rsid w:val="33D31CFB"/>
    <w:rsid w:val="33D451B9"/>
    <w:rsid w:val="33E20DF0"/>
    <w:rsid w:val="33E570DD"/>
    <w:rsid w:val="33EA5517"/>
    <w:rsid w:val="33EE5E44"/>
    <w:rsid w:val="33F1438B"/>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A36D8"/>
    <w:rsid w:val="341E635E"/>
    <w:rsid w:val="34260D3D"/>
    <w:rsid w:val="342D3CE2"/>
    <w:rsid w:val="34333AFC"/>
    <w:rsid w:val="34343D6C"/>
    <w:rsid w:val="34347DC5"/>
    <w:rsid w:val="34380493"/>
    <w:rsid w:val="34463967"/>
    <w:rsid w:val="344C08D2"/>
    <w:rsid w:val="345507E9"/>
    <w:rsid w:val="345543D1"/>
    <w:rsid w:val="34564E8B"/>
    <w:rsid w:val="345A1F55"/>
    <w:rsid w:val="345A7367"/>
    <w:rsid w:val="345D2CD0"/>
    <w:rsid w:val="346449C5"/>
    <w:rsid w:val="346C0AEA"/>
    <w:rsid w:val="3473748E"/>
    <w:rsid w:val="347F540F"/>
    <w:rsid w:val="34863322"/>
    <w:rsid w:val="34885DB3"/>
    <w:rsid w:val="348F0ED3"/>
    <w:rsid w:val="348F7A0E"/>
    <w:rsid w:val="34943D90"/>
    <w:rsid w:val="34975090"/>
    <w:rsid w:val="349A0B7D"/>
    <w:rsid w:val="34A851E8"/>
    <w:rsid w:val="34A92857"/>
    <w:rsid w:val="34A94ADA"/>
    <w:rsid w:val="34A97BFE"/>
    <w:rsid w:val="34B17679"/>
    <w:rsid w:val="34B51A96"/>
    <w:rsid w:val="34BB42A3"/>
    <w:rsid w:val="34BF1CD4"/>
    <w:rsid w:val="34C800BD"/>
    <w:rsid w:val="34C936CD"/>
    <w:rsid w:val="34CC1DC7"/>
    <w:rsid w:val="34D47C8A"/>
    <w:rsid w:val="34D874E5"/>
    <w:rsid w:val="34DB0CAC"/>
    <w:rsid w:val="34DD3DF9"/>
    <w:rsid w:val="34DE16E5"/>
    <w:rsid w:val="34E972FC"/>
    <w:rsid w:val="34F83EF3"/>
    <w:rsid w:val="34F953E0"/>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955CF"/>
    <w:rsid w:val="365F765A"/>
    <w:rsid w:val="36627C0A"/>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9265A"/>
    <w:rsid w:val="36A9393B"/>
    <w:rsid w:val="36AA239C"/>
    <w:rsid w:val="36B121C7"/>
    <w:rsid w:val="36B2486C"/>
    <w:rsid w:val="36B307B1"/>
    <w:rsid w:val="36BA14F4"/>
    <w:rsid w:val="36C45C2A"/>
    <w:rsid w:val="36CA6FF3"/>
    <w:rsid w:val="36CB04A2"/>
    <w:rsid w:val="36CC521E"/>
    <w:rsid w:val="36D009E5"/>
    <w:rsid w:val="36D27C18"/>
    <w:rsid w:val="36D512A9"/>
    <w:rsid w:val="36D85209"/>
    <w:rsid w:val="36D934D3"/>
    <w:rsid w:val="36D94280"/>
    <w:rsid w:val="36DE2053"/>
    <w:rsid w:val="36E07ED3"/>
    <w:rsid w:val="36E222AF"/>
    <w:rsid w:val="36F03F0E"/>
    <w:rsid w:val="36F414F3"/>
    <w:rsid w:val="36F902E0"/>
    <w:rsid w:val="36FB5611"/>
    <w:rsid w:val="37002C93"/>
    <w:rsid w:val="370974B4"/>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4D5DB3"/>
    <w:rsid w:val="37557969"/>
    <w:rsid w:val="37580AFA"/>
    <w:rsid w:val="375D4473"/>
    <w:rsid w:val="37615F3C"/>
    <w:rsid w:val="3766140C"/>
    <w:rsid w:val="376B106B"/>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B1804"/>
    <w:rsid w:val="37AE534B"/>
    <w:rsid w:val="37AF0370"/>
    <w:rsid w:val="37B1214B"/>
    <w:rsid w:val="37B336FE"/>
    <w:rsid w:val="37B5292C"/>
    <w:rsid w:val="37B67466"/>
    <w:rsid w:val="37BA6351"/>
    <w:rsid w:val="37C0226A"/>
    <w:rsid w:val="37C265EA"/>
    <w:rsid w:val="37C93B72"/>
    <w:rsid w:val="37CC231E"/>
    <w:rsid w:val="37CC50A4"/>
    <w:rsid w:val="37CE5277"/>
    <w:rsid w:val="37D644F2"/>
    <w:rsid w:val="37E22653"/>
    <w:rsid w:val="37ED5E3A"/>
    <w:rsid w:val="37EF1B98"/>
    <w:rsid w:val="37F24828"/>
    <w:rsid w:val="37F311D3"/>
    <w:rsid w:val="37F7242F"/>
    <w:rsid w:val="37FD1EC6"/>
    <w:rsid w:val="380579FE"/>
    <w:rsid w:val="380A2EB4"/>
    <w:rsid w:val="38157509"/>
    <w:rsid w:val="38194CC2"/>
    <w:rsid w:val="381D5340"/>
    <w:rsid w:val="382150C9"/>
    <w:rsid w:val="382372FE"/>
    <w:rsid w:val="38284CDE"/>
    <w:rsid w:val="38290CA5"/>
    <w:rsid w:val="382D297A"/>
    <w:rsid w:val="382F19E6"/>
    <w:rsid w:val="38336594"/>
    <w:rsid w:val="383B2EED"/>
    <w:rsid w:val="383D293E"/>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54BAF"/>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03265"/>
    <w:rsid w:val="39E64DFB"/>
    <w:rsid w:val="39E70CEA"/>
    <w:rsid w:val="39E9070B"/>
    <w:rsid w:val="39EC7454"/>
    <w:rsid w:val="39F07D03"/>
    <w:rsid w:val="39F17193"/>
    <w:rsid w:val="39FD2FB3"/>
    <w:rsid w:val="3A026596"/>
    <w:rsid w:val="3A082ABE"/>
    <w:rsid w:val="3A0A6393"/>
    <w:rsid w:val="3A0D6195"/>
    <w:rsid w:val="3A0E18F6"/>
    <w:rsid w:val="3A0E766B"/>
    <w:rsid w:val="3A181AC2"/>
    <w:rsid w:val="3A1A155D"/>
    <w:rsid w:val="3A1A5D0A"/>
    <w:rsid w:val="3A237175"/>
    <w:rsid w:val="3A264A9F"/>
    <w:rsid w:val="3A2B2AA6"/>
    <w:rsid w:val="3A2E67B0"/>
    <w:rsid w:val="3A2F3AA2"/>
    <w:rsid w:val="3A3D5DAF"/>
    <w:rsid w:val="3A443D4B"/>
    <w:rsid w:val="3A475FA8"/>
    <w:rsid w:val="3A543180"/>
    <w:rsid w:val="3A616CAD"/>
    <w:rsid w:val="3A711C68"/>
    <w:rsid w:val="3A7927E8"/>
    <w:rsid w:val="3A796E46"/>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BD671A"/>
    <w:rsid w:val="3BCE3F19"/>
    <w:rsid w:val="3BD039A1"/>
    <w:rsid w:val="3BD16A31"/>
    <w:rsid w:val="3BD31F59"/>
    <w:rsid w:val="3BD40BDF"/>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C3F4D"/>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487"/>
    <w:rsid w:val="3CE54B9F"/>
    <w:rsid w:val="3CE86761"/>
    <w:rsid w:val="3CEC51B9"/>
    <w:rsid w:val="3CF619DB"/>
    <w:rsid w:val="3CF86E9C"/>
    <w:rsid w:val="3CF87328"/>
    <w:rsid w:val="3CFD37E7"/>
    <w:rsid w:val="3CFE44BF"/>
    <w:rsid w:val="3D01412D"/>
    <w:rsid w:val="3D035272"/>
    <w:rsid w:val="3D0B7E6F"/>
    <w:rsid w:val="3D0E6C84"/>
    <w:rsid w:val="3D0F1231"/>
    <w:rsid w:val="3D163A6F"/>
    <w:rsid w:val="3D184661"/>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7335E1"/>
    <w:rsid w:val="3D744922"/>
    <w:rsid w:val="3D7618FA"/>
    <w:rsid w:val="3D766E42"/>
    <w:rsid w:val="3D791797"/>
    <w:rsid w:val="3D807BCD"/>
    <w:rsid w:val="3D82057E"/>
    <w:rsid w:val="3D832B00"/>
    <w:rsid w:val="3D8522AA"/>
    <w:rsid w:val="3D8A0C19"/>
    <w:rsid w:val="3D917A42"/>
    <w:rsid w:val="3D9816B4"/>
    <w:rsid w:val="3D990197"/>
    <w:rsid w:val="3D9A0655"/>
    <w:rsid w:val="3D9D4DFB"/>
    <w:rsid w:val="3DA22306"/>
    <w:rsid w:val="3DA9667F"/>
    <w:rsid w:val="3DAF084E"/>
    <w:rsid w:val="3DB17297"/>
    <w:rsid w:val="3DBB6C89"/>
    <w:rsid w:val="3DCD6921"/>
    <w:rsid w:val="3DD67156"/>
    <w:rsid w:val="3DD745F2"/>
    <w:rsid w:val="3DE04FCE"/>
    <w:rsid w:val="3DE37514"/>
    <w:rsid w:val="3DE548AC"/>
    <w:rsid w:val="3DE653F8"/>
    <w:rsid w:val="3DE72673"/>
    <w:rsid w:val="3DEB1255"/>
    <w:rsid w:val="3DEE1FBE"/>
    <w:rsid w:val="3DEE62E8"/>
    <w:rsid w:val="3DF94D6E"/>
    <w:rsid w:val="3E0448CB"/>
    <w:rsid w:val="3E073B6A"/>
    <w:rsid w:val="3E0918A5"/>
    <w:rsid w:val="3E0F25EA"/>
    <w:rsid w:val="3E146F59"/>
    <w:rsid w:val="3E197897"/>
    <w:rsid w:val="3E1D39DC"/>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F36AD8"/>
    <w:rsid w:val="3EF53397"/>
    <w:rsid w:val="3EF535E4"/>
    <w:rsid w:val="3EF62480"/>
    <w:rsid w:val="3EFB57DC"/>
    <w:rsid w:val="3EFE55C6"/>
    <w:rsid w:val="3F0572F1"/>
    <w:rsid w:val="3F0652EA"/>
    <w:rsid w:val="3F122481"/>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3632"/>
    <w:rsid w:val="3F742249"/>
    <w:rsid w:val="3F776E0A"/>
    <w:rsid w:val="3F8978E2"/>
    <w:rsid w:val="3F8A6711"/>
    <w:rsid w:val="3F952814"/>
    <w:rsid w:val="3F956B94"/>
    <w:rsid w:val="3F9C0821"/>
    <w:rsid w:val="3F9C213C"/>
    <w:rsid w:val="3FA41C63"/>
    <w:rsid w:val="3FAB100B"/>
    <w:rsid w:val="3FAB3D87"/>
    <w:rsid w:val="3FAB41A2"/>
    <w:rsid w:val="3FAE47F6"/>
    <w:rsid w:val="3FB03D8B"/>
    <w:rsid w:val="3FB5178A"/>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72999"/>
    <w:rsid w:val="40DF3ABC"/>
    <w:rsid w:val="40E75AF0"/>
    <w:rsid w:val="40E87142"/>
    <w:rsid w:val="40EF3C78"/>
    <w:rsid w:val="40F00A85"/>
    <w:rsid w:val="40F1013C"/>
    <w:rsid w:val="40F35427"/>
    <w:rsid w:val="40FA38BC"/>
    <w:rsid w:val="40FD201B"/>
    <w:rsid w:val="40FE1447"/>
    <w:rsid w:val="41053DED"/>
    <w:rsid w:val="41216875"/>
    <w:rsid w:val="412506DF"/>
    <w:rsid w:val="412D52A9"/>
    <w:rsid w:val="41320BD6"/>
    <w:rsid w:val="413314B6"/>
    <w:rsid w:val="41360F5F"/>
    <w:rsid w:val="413815BA"/>
    <w:rsid w:val="413B1BAB"/>
    <w:rsid w:val="41434504"/>
    <w:rsid w:val="414503C6"/>
    <w:rsid w:val="414559DF"/>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91C24"/>
    <w:rsid w:val="416C15E7"/>
    <w:rsid w:val="416E039C"/>
    <w:rsid w:val="416E1B43"/>
    <w:rsid w:val="417727AB"/>
    <w:rsid w:val="417F7393"/>
    <w:rsid w:val="41800377"/>
    <w:rsid w:val="41804025"/>
    <w:rsid w:val="41835B7D"/>
    <w:rsid w:val="418B26ED"/>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52080"/>
    <w:rsid w:val="41F94D40"/>
    <w:rsid w:val="41F95F47"/>
    <w:rsid w:val="41FD1048"/>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325BB"/>
    <w:rsid w:val="424A277B"/>
    <w:rsid w:val="424C388F"/>
    <w:rsid w:val="424C701C"/>
    <w:rsid w:val="42552CD5"/>
    <w:rsid w:val="42571AE1"/>
    <w:rsid w:val="42637522"/>
    <w:rsid w:val="4268449D"/>
    <w:rsid w:val="42697E79"/>
    <w:rsid w:val="426E536F"/>
    <w:rsid w:val="427034C5"/>
    <w:rsid w:val="42730E0D"/>
    <w:rsid w:val="427409B9"/>
    <w:rsid w:val="42831021"/>
    <w:rsid w:val="42863926"/>
    <w:rsid w:val="4287026E"/>
    <w:rsid w:val="42873CB7"/>
    <w:rsid w:val="428A607C"/>
    <w:rsid w:val="428C7571"/>
    <w:rsid w:val="429110B8"/>
    <w:rsid w:val="4295760D"/>
    <w:rsid w:val="429A29B1"/>
    <w:rsid w:val="429C1606"/>
    <w:rsid w:val="42A50044"/>
    <w:rsid w:val="42A87389"/>
    <w:rsid w:val="42B63D6B"/>
    <w:rsid w:val="42B92FAE"/>
    <w:rsid w:val="42C5796D"/>
    <w:rsid w:val="42D02E55"/>
    <w:rsid w:val="42D216FF"/>
    <w:rsid w:val="42D420EA"/>
    <w:rsid w:val="42D67001"/>
    <w:rsid w:val="42E06A10"/>
    <w:rsid w:val="42EF51EC"/>
    <w:rsid w:val="42F12517"/>
    <w:rsid w:val="42F41450"/>
    <w:rsid w:val="42F46A4C"/>
    <w:rsid w:val="42F503E1"/>
    <w:rsid w:val="42F511BA"/>
    <w:rsid w:val="42F875D5"/>
    <w:rsid w:val="43041C3F"/>
    <w:rsid w:val="43073BEF"/>
    <w:rsid w:val="430A5FFD"/>
    <w:rsid w:val="43112BE5"/>
    <w:rsid w:val="43120C73"/>
    <w:rsid w:val="431B56C6"/>
    <w:rsid w:val="431C7B04"/>
    <w:rsid w:val="431F752B"/>
    <w:rsid w:val="43210932"/>
    <w:rsid w:val="432466AA"/>
    <w:rsid w:val="432B0FC9"/>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C3431"/>
    <w:rsid w:val="439D0E7C"/>
    <w:rsid w:val="43A26A83"/>
    <w:rsid w:val="43A41643"/>
    <w:rsid w:val="43B27D9E"/>
    <w:rsid w:val="43B329A6"/>
    <w:rsid w:val="43BD732F"/>
    <w:rsid w:val="43BE3F55"/>
    <w:rsid w:val="43C0281C"/>
    <w:rsid w:val="43C02B26"/>
    <w:rsid w:val="43C91C5B"/>
    <w:rsid w:val="43D10A40"/>
    <w:rsid w:val="43D67A91"/>
    <w:rsid w:val="43E11D10"/>
    <w:rsid w:val="43E21F58"/>
    <w:rsid w:val="43E35EF0"/>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336EAB"/>
    <w:rsid w:val="44393BD3"/>
    <w:rsid w:val="444109FB"/>
    <w:rsid w:val="44416F50"/>
    <w:rsid w:val="444E22EA"/>
    <w:rsid w:val="44584267"/>
    <w:rsid w:val="44613B53"/>
    <w:rsid w:val="44705173"/>
    <w:rsid w:val="44740841"/>
    <w:rsid w:val="4476407C"/>
    <w:rsid w:val="447B4A66"/>
    <w:rsid w:val="447D4136"/>
    <w:rsid w:val="44825790"/>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43057"/>
    <w:rsid w:val="44C46F12"/>
    <w:rsid w:val="44C816C4"/>
    <w:rsid w:val="44C87C0F"/>
    <w:rsid w:val="44C932D0"/>
    <w:rsid w:val="44CB4FB3"/>
    <w:rsid w:val="44D31B1E"/>
    <w:rsid w:val="44DF6F1B"/>
    <w:rsid w:val="44E54BDC"/>
    <w:rsid w:val="44E92DF3"/>
    <w:rsid w:val="44F82D0E"/>
    <w:rsid w:val="44FD7E75"/>
    <w:rsid w:val="45004D64"/>
    <w:rsid w:val="450174D5"/>
    <w:rsid w:val="451C5E9C"/>
    <w:rsid w:val="45214561"/>
    <w:rsid w:val="452C5F0A"/>
    <w:rsid w:val="453401C9"/>
    <w:rsid w:val="45347499"/>
    <w:rsid w:val="453579B0"/>
    <w:rsid w:val="45385EDA"/>
    <w:rsid w:val="453F48AB"/>
    <w:rsid w:val="454036A6"/>
    <w:rsid w:val="45446179"/>
    <w:rsid w:val="454C65FA"/>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423ED"/>
    <w:rsid w:val="45B5611D"/>
    <w:rsid w:val="45B64B84"/>
    <w:rsid w:val="45BA6033"/>
    <w:rsid w:val="45C85EA2"/>
    <w:rsid w:val="45CD3F9B"/>
    <w:rsid w:val="45D9022E"/>
    <w:rsid w:val="45E01AC8"/>
    <w:rsid w:val="45E3021B"/>
    <w:rsid w:val="45E37678"/>
    <w:rsid w:val="45E526A6"/>
    <w:rsid w:val="45E56E31"/>
    <w:rsid w:val="45E66893"/>
    <w:rsid w:val="45E826B2"/>
    <w:rsid w:val="45F4334C"/>
    <w:rsid w:val="460D3781"/>
    <w:rsid w:val="461334CB"/>
    <w:rsid w:val="461B7F64"/>
    <w:rsid w:val="461E0F86"/>
    <w:rsid w:val="461F36FD"/>
    <w:rsid w:val="462D4B2D"/>
    <w:rsid w:val="462E4FF5"/>
    <w:rsid w:val="46365246"/>
    <w:rsid w:val="463E1C6A"/>
    <w:rsid w:val="46466453"/>
    <w:rsid w:val="464871AD"/>
    <w:rsid w:val="464937C4"/>
    <w:rsid w:val="464B3175"/>
    <w:rsid w:val="464B386E"/>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55B0E"/>
    <w:rsid w:val="46A55C75"/>
    <w:rsid w:val="46A719C4"/>
    <w:rsid w:val="46A82992"/>
    <w:rsid w:val="46AA501B"/>
    <w:rsid w:val="46AD7A5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913F7"/>
    <w:rsid w:val="47333B1B"/>
    <w:rsid w:val="47351654"/>
    <w:rsid w:val="4735743C"/>
    <w:rsid w:val="473D0BD8"/>
    <w:rsid w:val="47457188"/>
    <w:rsid w:val="47502F2C"/>
    <w:rsid w:val="47561DDC"/>
    <w:rsid w:val="47592D4E"/>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1101B"/>
    <w:rsid w:val="47D46DB8"/>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7F52F6"/>
    <w:rsid w:val="48850976"/>
    <w:rsid w:val="488D22FD"/>
    <w:rsid w:val="488E25F1"/>
    <w:rsid w:val="48942964"/>
    <w:rsid w:val="489B4431"/>
    <w:rsid w:val="489E6A24"/>
    <w:rsid w:val="489F0E5C"/>
    <w:rsid w:val="48A252D4"/>
    <w:rsid w:val="48A36B1C"/>
    <w:rsid w:val="48A76BEF"/>
    <w:rsid w:val="48AD54EB"/>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B0D27"/>
    <w:rsid w:val="48FE11C0"/>
    <w:rsid w:val="48FE59FA"/>
    <w:rsid w:val="49046287"/>
    <w:rsid w:val="490517F7"/>
    <w:rsid w:val="49075A63"/>
    <w:rsid w:val="490933FA"/>
    <w:rsid w:val="490A4D2F"/>
    <w:rsid w:val="490A64AF"/>
    <w:rsid w:val="49111AA9"/>
    <w:rsid w:val="491709CE"/>
    <w:rsid w:val="491C3261"/>
    <w:rsid w:val="491F0E25"/>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57B3A"/>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426AC"/>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2795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126A3"/>
    <w:rsid w:val="4A2322DF"/>
    <w:rsid w:val="4A2E7749"/>
    <w:rsid w:val="4A381BA6"/>
    <w:rsid w:val="4A3926E2"/>
    <w:rsid w:val="4A4172CE"/>
    <w:rsid w:val="4A43236C"/>
    <w:rsid w:val="4A4A176A"/>
    <w:rsid w:val="4A5370A6"/>
    <w:rsid w:val="4A5C4447"/>
    <w:rsid w:val="4A5C6983"/>
    <w:rsid w:val="4A5D3AC5"/>
    <w:rsid w:val="4A643FBD"/>
    <w:rsid w:val="4A652ED9"/>
    <w:rsid w:val="4A6C0FC7"/>
    <w:rsid w:val="4A6D7FF3"/>
    <w:rsid w:val="4A732739"/>
    <w:rsid w:val="4A732F85"/>
    <w:rsid w:val="4A7413BF"/>
    <w:rsid w:val="4A7D09F3"/>
    <w:rsid w:val="4A825AD9"/>
    <w:rsid w:val="4A840EFE"/>
    <w:rsid w:val="4A850C8F"/>
    <w:rsid w:val="4A8953AB"/>
    <w:rsid w:val="4A8B5CEB"/>
    <w:rsid w:val="4A95521B"/>
    <w:rsid w:val="4A970AB1"/>
    <w:rsid w:val="4A9C6332"/>
    <w:rsid w:val="4A9F281E"/>
    <w:rsid w:val="4AA4318E"/>
    <w:rsid w:val="4AA456B8"/>
    <w:rsid w:val="4AA75186"/>
    <w:rsid w:val="4AAF1B3A"/>
    <w:rsid w:val="4AB01D3D"/>
    <w:rsid w:val="4AB113DF"/>
    <w:rsid w:val="4AB75FB2"/>
    <w:rsid w:val="4ABB3CDE"/>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53BA1"/>
    <w:rsid w:val="4B081F1A"/>
    <w:rsid w:val="4B0A119A"/>
    <w:rsid w:val="4B0D6C0E"/>
    <w:rsid w:val="4B183767"/>
    <w:rsid w:val="4B1914EF"/>
    <w:rsid w:val="4B1C66E8"/>
    <w:rsid w:val="4B205D7D"/>
    <w:rsid w:val="4B28587C"/>
    <w:rsid w:val="4B292683"/>
    <w:rsid w:val="4B294C7C"/>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412C4"/>
    <w:rsid w:val="4BA72908"/>
    <w:rsid w:val="4BAC76E4"/>
    <w:rsid w:val="4BAD4CA2"/>
    <w:rsid w:val="4BB42604"/>
    <w:rsid w:val="4BB548C0"/>
    <w:rsid w:val="4BB5799E"/>
    <w:rsid w:val="4BBD6286"/>
    <w:rsid w:val="4BC456EF"/>
    <w:rsid w:val="4BC647B0"/>
    <w:rsid w:val="4BCB1BAE"/>
    <w:rsid w:val="4BD94F2A"/>
    <w:rsid w:val="4BDF4B49"/>
    <w:rsid w:val="4BE57E16"/>
    <w:rsid w:val="4BE819D0"/>
    <w:rsid w:val="4BE8649D"/>
    <w:rsid w:val="4BF841D3"/>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E085C"/>
    <w:rsid w:val="4C1E7AAC"/>
    <w:rsid w:val="4C20259F"/>
    <w:rsid w:val="4C256EE5"/>
    <w:rsid w:val="4C2840CB"/>
    <w:rsid w:val="4C312ECF"/>
    <w:rsid w:val="4C422CA7"/>
    <w:rsid w:val="4C427C5C"/>
    <w:rsid w:val="4C5035A1"/>
    <w:rsid w:val="4C5F0B5D"/>
    <w:rsid w:val="4C606F33"/>
    <w:rsid w:val="4C6426ED"/>
    <w:rsid w:val="4C64471A"/>
    <w:rsid w:val="4C6C2FE2"/>
    <w:rsid w:val="4C6D5BD4"/>
    <w:rsid w:val="4C6F6529"/>
    <w:rsid w:val="4C77619E"/>
    <w:rsid w:val="4C860543"/>
    <w:rsid w:val="4C8679F9"/>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00AD5"/>
    <w:rsid w:val="4D1855BA"/>
    <w:rsid w:val="4D1D6CA0"/>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7E2C49"/>
    <w:rsid w:val="4D7E4702"/>
    <w:rsid w:val="4D8814DC"/>
    <w:rsid w:val="4D8A58C0"/>
    <w:rsid w:val="4D8D11C1"/>
    <w:rsid w:val="4D922BF5"/>
    <w:rsid w:val="4D9B5A29"/>
    <w:rsid w:val="4D9E1AAF"/>
    <w:rsid w:val="4DA53BC8"/>
    <w:rsid w:val="4DB056F4"/>
    <w:rsid w:val="4DB41824"/>
    <w:rsid w:val="4DB95A69"/>
    <w:rsid w:val="4DBD1F3A"/>
    <w:rsid w:val="4DBD526D"/>
    <w:rsid w:val="4DC31B92"/>
    <w:rsid w:val="4DCA77DE"/>
    <w:rsid w:val="4DD776ED"/>
    <w:rsid w:val="4DDF6E13"/>
    <w:rsid w:val="4DE5202D"/>
    <w:rsid w:val="4DE54C28"/>
    <w:rsid w:val="4DE60E50"/>
    <w:rsid w:val="4DEB4734"/>
    <w:rsid w:val="4DEF33CD"/>
    <w:rsid w:val="4DF00490"/>
    <w:rsid w:val="4DF20FEE"/>
    <w:rsid w:val="4DF2434F"/>
    <w:rsid w:val="4DF43CA1"/>
    <w:rsid w:val="4DFA2AA2"/>
    <w:rsid w:val="4E007E98"/>
    <w:rsid w:val="4E016672"/>
    <w:rsid w:val="4E066F25"/>
    <w:rsid w:val="4E0939E5"/>
    <w:rsid w:val="4E1561BE"/>
    <w:rsid w:val="4E176DF3"/>
    <w:rsid w:val="4E1A2F68"/>
    <w:rsid w:val="4E1E7D0E"/>
    <w:rsid w:val="4E210A5C"/>
    <w:rsid w:val="4E2C6A36"/>
    <w:rsid w:val="4E342F40"/>
    <w:rsid w:val="4E3A2C21"/>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37457"/>
    <w:rsid w:val="4E937763"/>
    <w:rsid w:val="4E991182"/>
    <w:rsid w:val="4E9E5BA9"/>
    <w:rsid w:val="4E9F5613"/>
    <w:rsid w:val="4EA201FA"/>
    <w:rsid w:val="4EA9172F"/>
    <w:rsid w:val="4EAC241A"/>
    <w:rsid w:val="4EAC3D58"/>
    <w:rsid w:val="4EB67945"/>
    <w:rsid w:val="4EC420B9"/>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477BE7"/>
    <w:rsid w:val="4F50208E"/>
    <w:rsid w:val="4F560A53"/>
    <w:rsid w:val="4F611147"/>
    <w:rsid w:val="4F680BE3"/>
    <w:rsid w:val="4F6E6F86"/>
    <w:rsid w:val="4F7278C6"/>
    <w:rsid w:val="4F764CC2"/>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0163"/>
    <w:rsid w:val="4FBB5569"/>
    <w:rsid w:val="4FBF1E32"/>
    <w:rsid w:val="4FC7196C"/>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52B61"/>
    <w:rsid w:val="50363B3A"/>
    <w:rsid w:val="50365B27"/>
    <w:rsid w:val="503971F3"/>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7F2E0F"/>
    <w:rsid w:val="508A668E"/>
    <w:rsid w:val="50915F48"/>
    <w:rsid w:val="509A3231"/>
    <w:rsid w:val="509C736A"/>
    <w:rsid w:val="50A13B27"/>
    <w:rsid w:val="50A15412"/>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972F2"/>
    <w:rsid w:val="50ED76FB"/>
    <w:rsid w:val="50F568D9"/>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694182"/>
    <w:rsid w:val="51695F30"/>
    <w:rsid w:val="5179450A"/>
    <w:rsid w:val="51797588"/>
    <w:rsid w:val="517C0CA0"/>
    <w:rsid w:val="517D17DB"/>
    <w:rsid w:val="517F00BC"/>
    <w:rsid w:val="51861BC2"/>
    <w:rsid w:val="5188076F"/>
    <w:rsid w:val="5195533B"/>
    <w:rsid w:val="519645E3"/>
    <w:rsid w:val="5199124A"/>
    <w:rsid w:val="519D2F03"/>
    <w:rsid w:val="51AA27FB"/>
    <w:rsid w:val="51AB0562"/>
    <w:rsid w:val="51AD6F40"/>
    <w:rsid w:val="51AE5103"/>
    <w:rsid w:val="51AE5AD5"/>
    <w:rsid w:val="51B84B91"/>
    <w:rsid w:val="51BE2EAE"/>
    <w:rsid w:val="51C0716E"/>
    <w:rsid w:val="51C24631"/>
    <w:rsid w:val="51D42177"/>
    <w:rsid w:val="51D43598"/>
    <w:rsid w:val="51DA51E8"/>
    <w:rsid w:val="51DA5890"/>
    <w:rsid w:val="51E90CD5"/>
    <w:rsid w:val="51EE7B3E"/>
    <w:rsid w:val="51F51BD1"/>
    <w:rsid w:val="51F96848"/>
    <w:rsid w:val="51FB40B5"/>
    <w:rsid w:val="52073487"/>
    <w:rsid w:val="520858AE"/>
    <w:rsid w:val="520A7B89"/>
    <w:rsid w:val="520E648E"/>
    <w:rsid w:val="52163A0B"/>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6F57C8"/>
    <w:rsid w:val="52790FD9"/>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B52A5"/>
    <w:rsid w:val="52EE154F"/>
    <w:rsid w:val="52EF0051"/>
    <w:rsid w:val="52EF6540"/>
    <w:rsid w:val="52F24426"/>
    <w:rsid w:val="52FC1C88"/>
    <w:rsid w:val="53047263"/>
    <w:rsid w:val="5306702F"/>
    <w:rsid w:val="53112C1D"/>
    <w:rsid w:val="531241BA"/>
    <w:rsid w:val="53155215"/>
    <w:rsid w:val="531621BA"/>
    <w:rsid w:val="531A36B6"/>
    <w:rsid w:val="531D0F10"/>
    <w:rsid w:val="531F532A"/>
    <w:rsid w:val="53207ABD"/>
    <w:rsid w:val="53212386"/>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47C35"/>
    <w:rsid w:val="53556970"/>
    <w:rsid w:val="535E141D"/>
    <w:rsid w:val="535F500E"/>
    <w:rsid w:val="536250CC"/>
    <w:rsid w:val="5366542B"/>
    <w:rsid w:val="536A15F0"/>
    <w:rsid w:val="536D41AE"/>
    <w:rsid w:val="536F7573"/>
    <w:rsid w:val="5370597D"/>
    <w:rsid w:val="53763151"/>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B5304"/>
    <w:rsid w:val="541C2007"/>
    <w:rsid w:val="541F38E3"/>
    <w:rsid w:val="54267F9B"/>
    <w:rsid w:val="542A1803"/>
    <w:rsid w:val="542A3FEF"/>
    <w:rsid w:val="542A5504"/>
    <w:rsid w:val="542D153F"/>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37C99"/>
    <w:rsid w:val="549438A5"/>
    <w:rsid w:val="549C64AD"/>
    <w:rsid w:val="549C6534"/>
    <w:rsid w:val="549D3EDA"/>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81BD6"/>
    <w:rsid w:val="54DF688B"/>
    <w:rsid w:val="54E85E2E"/>
    <w:rsid w:val="54E95643"/>
    <w:rsid w:val="54ED7E47"/>
    <w:rsid w:val="550E6C32"/>
    <w:rsid w:val="551C2E90"/>
    <w:rsid w:val="552D52C7"/>
    <w:rsid w:val="55397CF2"/>
    <w:rsid w:val="5546565D"/>
    <w:rsid w:val="554E0863"/>
    <w:rsid w:val="555467FF"/>
    <w:rsid w:val="555737A6"/>
    <w:rsid w:val="55577AFF"/>
    <w:rsid w:val="55597711"/>
    <w:rsid w:val="55611FED"/>
    <w:rsid w:val="55661E19"/>
    <w:rsid w:val="556C1CC4"/>
    <w:rsid w:val="556E620B"/>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96541B"/>
    <w:rsid w:val="55A47B02"/>
    <w:rsid w:val="55A578C3"/>
    <w:rsid w:val="55A63100"/>
    <w:rsid w:val="55AB1B1D"/>
    <w:rsid w:val="55B07AA1"/>
    <w:rsid w:val="55B403DD"/>
    <w:rsid w:val="55B50135"/>
    <w:rsid w:val="55B511EE"/>
    <w:rsid w:val="55B77D28"/>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E6BCF"/>
    <w:rsid w:val="56017EDE"/>
    <w:rsid w:val="56027E43"/>
    <w:rsid w:val="56030BD3"/>
    <w:rsid w:val="560469FC"/>
    <w:rsid w:val="5609174E"/>
    <w:rsid w:val="560B371B"/>
    <w:rsid w:val="561036D3"/>
    <w:rsid w:val="561B57AD"/>
    <w:rsid w:val="5621112A"/>
    <w:rsid w:val="56214A7B"/>
    <w:rsid w:val="562E1F90"/>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56E98"/>
    <w:rsid w:val="56863216"/>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C12AE4"/>
    <w:rsid w:val="56C71CAD"/>
    <w:rsid w:val="56CB6227"/>
    <w:rsid w:val="56CE5F20"/>
    <w:rsid w:val="56D1338D"/>
    <w:rsid w:val="56D31AC8"/>
    <w:rsid w:val="56DA3EBA"/>
    <w:rsid w:val="56DE40C5"/>
    <w:rsid w:val="56E33383"/>
    <w:rsid w:val="56E81DBE"/>
    <w:rsid w:val="56EA65D6"/>
    <w:rsid w:val="56ED5E03"/>
    <w:rsid w:val="56FB0134"/>
    <w:rsid w:val="56FC2728"/>
    <w:rsid w:val="56FD401A"/>
    <w:rsid w:val="57012351"/>
    <w:rsid w:val="57095761"/>
    <w:rsid w:val="571777C3"/>
    <w:rsid w:val="571B1F7E"/>
    <w:rsid w:val="571D34AC"/>
    <w:rsid w:val="571F270E"/>
    <w:rsid w:val="57284B98"/>
    <w:rsid w:val="57292292"/>
    <w:rsid w:val="572E4793"/>
    <w:rsid w:val="572E7E52"/>
    <w:rsid w:val="57315E6B"/>
    <w:rsid w:val="5733219C"/>
    <w:rsid w:val="57332F0F"/>
    <w:rsid w:val="573403E6"/>
    <w:rsid w:val="573459F0"/>
    <w:rsid w:val="573A47F4"/>
    <w:rsid w:val="573B3910"/>
    <w:rsid w:val="574460A0"/>
    <w:rsid w:val="57484376"/>
    <w:rsid w:val="574B4B12"/>
    <w:rsid w:val="575425F9"/>
    <w:rsid w:val="575430BB"/>
    <w:rsid w:val="57577E82"/>
    <w:rsid w:val="575A2017"/>
    <w:rsid w:val="575C5FBB"/>
    <w:rsid w:val="57685F5D"/>
    <w:rsid w:val="57692A18"/>
    <w:rsid w:val="576D6DDF"/>
    <w:rsid w:val="57702374"/>
    <w:rsid w:val="57780ED4"/>
    <w:rsid w:val="577E3A90"/>
    <w:rsid w:val="57886A0D"/>
    <w:rsid w:val="57896321"/>
    <w:rsid w:val="578A5B09"/>
    <w:rsid w:val="578B78A1"/>
    <w:rsid w:val="57903D73"/>
    <w:rsid w:val="5794266A"/>
    <w:rsid w:val="57955219"/>
    <w:rsid w:val="579A7C07"/>
    <w:rsid w:val="579F309F"/>
    <w:rsid w:val="57A46FEE"/>
    <w:rsid w:val="57AA5A5F"/>
    <w:rsid w:val="57AF7168"/>
    <w:rsid w:val="57B02763"/>
    <w:rsid w:val="57B6547E"/>
    <w:rsid w:val="57BC7C9C"/>
    <w:rsid w:val="57BF6387"/>
    <w:rsid w:val="57C77A65"/>
    <w:rsid w:val="57D01AAC"/>
    <w:rsid w:val="57D1117F"/>
    <w:rsid w:val="57DA0D38"/>
    <w:rsid w:val="57DD4E33"/>
    <w:rsid w:val="57DE0A52"/>
    <w:rsid w:val="57DF6500"/>
    <w:rsid w:val="57E143B6"/>
    <w:rsid w:val="57E60B9B"/>
    <w:rsid w:val="57E73B61"/>
    <w:rsid w:val="57F01737"/>
    <w:rsid w:val="57F316B2"/>
    <w:rsid w:val="57F73696"/>
    <w:rsid w:val="57FA3FC4"/>
    <w:rsid w:val="58005923"/>
    <w:rsid w:val="5803475B"/>
    <w:rsid w:val="580530E5"/>
    <w:rsid w:val="580A6FBE"/>
    <w:rsid w:val="580F5BC1"/>
    <w:rsid w:val="58153B58"/>
    <w:rsid w:val="581C6E66"/>
    <w:rsid w:val="58222A6D"/>
    <w:rsid w:val="5822786C"/>
    <w:rsid w:val="58243371"/>
    <w:rsid w:val="58293CFC"/>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26FD0"/>
    <w:rsid w:val="5863473D"/>
    <w:rsid w:val="586C2A31"/>
    <w:rsid w:val="586E1447"/>
    <w:rsid w:val="58766ECF"/>
    <w:rsid w:val="5878285F"/>
    <w:rsid w:val="58785165"/>
    <w:rsid w:val="587E2D46"/>
    <w:rsid w:val="588509DD"/>
    <w:rsid w:val="588D555E"/>
    <w:rsid w:val="58937684"/>
    <w:rsid w:val="58953B9F"/>
    <w:rsid w:val="58957A8C"/>
    <w:rsid w:val="589C0BA1"/>
    <w:rsid w:val="589F18E4"/>
    <w:rsid w:val="58A146A8"/>
    <w:rsid w:val="58A26665"/>
    <w:rsid w:val="58A948C8"/>
    <w:rsid w:val="58B156C4"/>
    <w:rsid w:val="58B3713C"/>
    <w:rsid w:val="58B80220"/>
    <w:rsid w:val="58B8443B"/>
    <w:rsid w:val="58B92428"/>
    <w:rsid w:val="58BC4002"/>
    <w:rsid w:val="58C47A68"/>
    <w:rsid w:val="58C6178A"/>
    <w:rsid w:val="58D720A4"/>
    <w:rsid w:val="58DB456A"/>
    <w:rsid w:val="58DE2CA8"/>
    <w:rsid w:val="58E26DB9"/>
    <w:rsid w:val="58E56245"/>
    <w:rsid w:val="58E909DD"/>
    <w:rsid w:val="58EB1C90"/>
    <w:rsid w:val="58EE536D"/>
    <w:rsid w:val="58F57D12"/>
    <w:rsid w:val="59094784"/>
    <w:rsid w:val="590C4A7A"/>
    <w:rsid w:val="59255E05"/>
    <w:rsid w:val="59267EF0"/>
    <w:rsid w:val="59287A6A"/>
    <w:rsid w:val="592C2EB2"/>
    <w:rsid w:val="59376E4C"/>
    <w:rsid w:val="593F73A8"/>
    <w:rsid w:val="59421F7E"/>
    <w:rsid w:val="59424509"/>
    <w:rsid w:val="594935F2"/>
    <w:rsid w:val="594C2750"/>
    <w:rsid w:val="594D49D5"/>
    <w:rsid w:val="595310C3"/>
    <w:rsid w:val="59595860"/>
    <w:rsid w:val="595C0946"/>
    <w:rsid w:val="59604A5E"/>
    <w:rsid w:val="59642A7A"/>
    <w:rsid w:val="59655357"/>
    <w:rsid w:val="5967369D"/>
    <w:rsid w:val="596957AE"/>
    <w:rsid w:val="596D32B4"/>
    <w:rsid w:val="596E3CF3"/>
    <w:rsid w:val="596F5485"/>
    <w:rsid w:val="5974082A"/>
    <w:rsid w:val="59774D3E"/>
    <w:rsid w:val="597B3EC3"/>
    <w:rsid w:val="597C00C4"/>
    <w:rsid w:val="598635D7"/>
    <w:rsid w:val="599148CE"/>
    <w:rsid w:val="59946630"/>
    <w:rsid w:val="599A1291"/>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6BDA"/>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61DC4"/>
    <w:rsid w:val="5A575C31"/>
    <w:rsid w:val="5A5A2DA4"/>
    <w:rsid w:val="5A5B1C29"/>
    <w:rsid w:val="5A5C7772"/>
    <w:rsid w:val="5A6169CB"/>
    <w:rsid w:val="5A6336A1"/>
    <w:rsid w:val="5A65704E"/>
    <w:rsid w:val="5A6B7C88"/>
    <w:rsid w:val="5A6F5AD1"/>
    <w:rsid w:val="5A73612A"/>
    <w:rsid w:val="5A784E1A"/>
    <w:rsid w:val="5A7F6F98"/>
    <w:rsid w:val="5A8F76C1"/>
    <w:rsid w:val="5A900D5F"/>
    <w:rsid w:val="5A921A04"/>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D71C6"/>
    <w:rsid w:val="5B5F2FE4"/>
    <w:rsid w:val="5B6207A7"/>
    <w:rsid w:val="5B627DC7"/>
    <w:rsid w:val="5B656FD3"/>
    <w:rsid w:val="5B6C5737"/>
    <w:rsid w:val="5B7178CA"/>
    <w:rsid w:val="5B763263"/>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101F"/>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44"/>
    <w:rsid w:val="5C1A6FBB"/>
    <w:rsid w:val="5C1D0C0F"/>
    <w:rsid w:val="5C2218F7"/>
    <w:rsid w:val="5C3B2DCF"/>
    <w:rsid w:val="5C474C2E"/>
    <w:rsid w:val="5C494C6D"/>
    <w:rsid w:val="5C500AF8"/>
    <w:rsid w:val="5C517866"/>
    <w:rsid w:val="5C523483"/>
    <w:rsid w:val="5C527003"/>
    <w:rsid w:val="5C5348B4"/>
    <w:rsid w:val="5C5E033F"/>
    <w:rsid w:val="5C6875EE"/>
    <w:rsid w:val="5C6B21CA"/>
    <w:rsid w:val="5C6F12DC"/>
    <w:rsid w:val="5C7A2919"/>
    <w:rsid w:val="5C84202F"/>
    <w:rsid w:val="5C8F19C2"/>
    <w:rsid w:val="5C9E61D8"/>
    <w:rsid w:val="5CA15C9A"/>
    <w:rsid w:val="5CA57043"/>
    <w:rsid w:val="5CA62CEF"/>
    <w:rsid w:val="5CB157B0"/>
    <w:rsid w:val="5CBA789F"/>
    <w:rsid w:val="5CBF4297"/>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A309B"/>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E2E8C"/>
    <w:rsid w:val="5DAE7F34"/>
    <w:rsid w:val="5DB42E5D"/>
    <w:rsid w:val="5DB65502"/>
    <w:rsid w:val="5DB906BB"/>
    <w:rsid w:val="5DC41A63"/>
    <w:rsid w:val="5DD70750"/>
    <w:rsid w:val="5DE44DF4"/>
    <w:rsid w:val="5DE47A17"/>
    <w:rsid w:val="5DED4540"/>
    <w:rsid w:val="5E00720B"/>
    <w:rsid w:val="5E012896"/>
    <w:rsid w:val="5E01619F"/>
    <w:rsid w:val="5E0825B2"/>
    <w:rsid w:val="5E0A6049"/>
    <w:rsid w:val="5E156B70"/>
    <w:rsid w:val="5E1574AD"/>
    <w:rsid w:val="5E1E0D81"/>
    <w:rsid w:val="5E21165A"/>
    <w:rsid w:val="5E214E1E"/>
    <w:rsid w:val="5E226508"/>
    <w:rsid w:val="5E2368B5"/>
    <w:rsid w:val="5E261D69"/>
    <w:rsid w:val="5E344390"/>
    <w:rsid w:val="5E352EB6"/>
    <w:rsid w:val="5E3750D6"/>
    <w:rsid w:val="5E400BF0"/>
    <w:rsid w:val="5E4250B0"/>
    <w:rsid w:val="5E4A3E88"/>
    <w:rsid w:val="5E4E539E"/>
    <w:rsid w:val="5E5B2B5A"/>
    <w:rsid w:val="5E5E18DF"/>
    <w:rsid w:val="5E5F0687"/>
    <w:rsid w:val="5E6454D9"/>
    <w:rsid w:val="5E680BE8"/>
    <w:rsid w:val="5E6B7FF0"/>
    <w:rsid w:val="5E783202"/>
    <w:rsid w:val="5E7842EE"/>
    <w:rsid w:val="5E7A1A68"/>
    <w:rsid w:val="5E803D55"/>
    <w:rsid w:val="5E854DAE"/>
    <w:rsid w:val="5E88203D"/>
    <w:rsid w:val="5E983444"/>
    <w:rsid w:val="5EA36A9B"/>
    <w:rsid w:val="5EA42C37"/>
    <w:rsid w:val="5EA648E2"/>
    <w:rsid w:val="5EA71C01"/>
    <w:rsid w:val="5EB24CFE"/>
    <w:rsid w:val="5EB32415"/>
    <w:rsid w:val="5EB52E6F"/>
    <w:rsid w:val="5EC37A1E"/>
    <w:rsid w:val="5EC94A60"/>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B6B90"/>
    <w:rsid w:val="600C3224"/>
    <w:rsid w:val="600F6605"/>
    <w:rsid w:val="60143AD3"/>
    <w:rsid w:val="60281FCD"/>
    <w:rsid w:val="602876AC"/>
    <w:rsid w:val="602D6A03"/>
    <w:rsid w:val="603215F4"/>
    <w:rsid w:val="603771DA"/>
    <w:rsid w:val="60447E31"/>
    <w:rsid w:val="604C5236"/>
    <w:rsid w:val="605006BC"/>
    <w:rsid w:val="60584E5C"/>
    <w:rsid w:val="606162D0"/>
    <w:rsid w:val="606371B1"/>
    <w:rsid w:val="60674769"/>
    <w:rsid w:val="606F545C"/>
    <w:rsid w:val="607079E9"/>
    <w:rsid w:val="60734371"/>
    <w:rsid w:val="607761FD"/>
    <w:rsid w:val="60830460"/>
    <w:rsid w:val="6085543E"/>
    <w:rsid w:val="608B5C80"/>
    <w:rsid w:val="60907882"/>
    <w:rsid w:val="609258F0"/>
    <w:rsid w:val="6093287A"/>
    <w:rsid w:val="609517E9"/>
    <w:rsid w:val="609A2B73"/>
    <w:rsid w:val="609F1E8C"/>
    <w:rsid w:val="60A0440C"/>
    <w:rsid w:val="60B64071"/>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1FD0A2A"/>
    <w:rsid w:val="620B2B74"/>
    <w:rsid w:val="6210415F"/>
    <w:rsid w:val="62113437"/>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B87"/>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6E4B38"/>
    <w:rsid w:val="63710BA6"/>
    <w:rsid w:val="637346BC"/>
    <w:rsid w:val="637D75E6"/>
    <w:rsid w:val="63821D61"/>
    <w:rsid w:val="638266CE"/>
    <w:rsid w:val="63827E36"/>
    <w:rsid w:val="63842477"/>
    <w:rsid w:val="638823F9"/>
    <w:rsid w:val="63891BA5"/>
    <w:rsid w:val="638B04D2"/>
    <w:rsid w:val="639A118D"/>
    <w:rsid w:val="639B7C08"/>
    <w:rsid w:val="639C4CC2"/>
    <w:rsid w:val="639C5CE1"/>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85FCA"/>
    <w:rsid w:val="63E263F4"/>
    <w:rsid w:val="63E418C9"/>
    <w:rsid w:val="63F55755"/>
    <w:rsid w:val="63FB6EC6"/>
    <w:rsid w:val="63FD7654"/>
    <w:rsid w:val="640A7217"/>
    <w:rsid w:val="640C2BB6"/>
    <w:rsid w:val="6411454E"/>
    <w:rsid w:val="64225C1C"/>
    <w:rsid w:val="642437E9"/>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34D76"/>
    <w:rsid w:val="64D40BDA"/>
    <w:rsid w:val="64D93F02"/>
    <w:rsid w:val="64DF1E48"/>
    <w:rsid w:val="64E52880"/>
    <w:rsid w:val="64E5543E"/>
    <w:rsid w:val="64E76F6D"/>
    <w:rsid w:val="64EA4517"/>
    <w:rsid w:val="64FC561C"/>
    <w:rsid w:val="64FC687A"/>
    <w:rsid w:val="64FE0E31"/>
    <w:rsid w:val="650F5743"/>
    <w:rsid w:val="65124A41"/>
    <w:rsid w:val="65181463"/>
    <w:rsid w:val="651A5C6A"/>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A65E7D"/>
    <w:rsid w:val="65AA2B3B"/>
    <w:rsid w:val="65B408AD"/>
    <w:rsid w:val="65BC6E17"/>
    <w:rsid w:val="65BD3777"/>
    <w:rsid w:val="65BE5ECC"/>
    <w:rsid w:val="65D43869"/>
    <w:rsid w:val="65D64BB3"/>
    <w:rsid w:val="65D70270"/>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65545D"/>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66C06"/>
    <w:rsid w:val="670673B0"/>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C341B"/>
    <w:rsid w:val="67B10069"/>
    <w:rsid w:val="67B42C3D"/>
    <w:rsid w:val="67B6037E"/>
    <w:rsid w:val="67B861F9"/>
    <w:rsid w:val="67C149C0"/>
    <w:rsid w:val="67C7427D"/>
    <w:rsid w:val="67CA7967"/>
    <w:rsid w:val="67CC38C5"/>
    <w:rsid w:val="67D9695E"/>
    <w:rsid w:val="67DB5BED"/>
    <w:rsid w:val="67DC5CEA"/>
    <w:rsid w:val="67DF18A0"/>
    <w:rsid w:val="67E024C8"/>
    <w:rsid w:val="67E35B0A"/>
    <w:rsid w:val="67EA524A"/>
    <w:rsid w:val="67EE6D37"/>
    <w:rsid w:val="67F0511C"/>
    <w:rsid w:val="67F5522D"/>
    <w:rsid w:val="67F73BC6"/>
    <w:rsid w:val="680965F8"/>
    <w:rsid w:val="680C5BF3"/>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6E5E6F"/>
    <w:rsid w:val="68733F18"/>
    <w:rsid w:val="687442EE"/>
    <w:rsid w:val="68772A56"/>
    <w:rsid w:val="687C7996"/>
    <w:rsid w:val="687E1768"/>
    <w:rsid w:val="689B3E14"/>
    <w:rsid w:val="689B67A8"/>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31101"/>
    <w:rsid w:val="6974083C"/>
    <w:rsid w:val="697D087B"/>
    <w:rsid w:val="69807B1E"/>
    <w:rsid w:val="698D012C"/>
    <w:rsid w:val="69992E3D"/>
    <w:rsid w:val="699A7177"/>
    <w:rsid w:val="699A7E83"/>
    <w:rsid w:val="69A71B52"/>
    <w:rsid w:val="69A7770D"/>
    <w:rsid w:val="69A966F8"/>
    <w:rsid w:val="69AC0B64"/>
    <w:rsid w:val="69B27491"/>
    <w:rsid w:val="69B27C94"/>
    <w:rsid w:val="69BA2288"/>
    <w:rsid w:val="69BA3FF5"/>
    <w:rsid w:val="69BB7CE2"/>
    <w:rsid w:val="69BE1292"/>
    <w:rsid w:val="69BF343C"/>
    <w:rsid w:val="69D2134C"/>
    <w:rsid w:val="69D537ED"/>
    <w:rsid w:val="69DC3AC1"/>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C352D"/>
    <w:rsid w:val="6AD902D6"/>
    <w:rsid w:val="6AD909E0"/>
    <w:rsid w:val="6ADC49EF"/>
    <w:rsid w:val="6ADD4FD8"/>
    <w:rsid w:val="6ADD71F3"/>
    <w:rsid w:val="6AE26C27"/>
    <w:rsid w:val="6AE845AC"/>
    <w:rsid w:val="6AEC1179"/>
    <w:rsid w:val="6AED013C"/>
    <w:rsid w:val="6AEE59AB"/>
    <w:rsid w:val="6AF159FF"/>
    <w:rsid w:val="6AF57F3A"/>
    <w:rsid w:val="6AF63F29"/>
    <w:rsid w:val="6AFB7DF3"/>
    <w:rsid w:val="6AFE4F30"/>
    <w:rsid w:val="6B016D82"/>
    <w:rsid w:val="6B084B26"/>
    <w:rsid w:val="6B0A20DA"/>
    <w:rsid w:val="6B0A3D9B"/>
    <w:rsid w:val="6B0E002C"/>
    <w:rsid w:val="6B21318E"/>
    <w:rsid w:val="6B227A15"/>
    <w:rsid w:val="6B2833E7"/>
    <w:rsid w:val="6B285741"/>
    <w:rsid w:val="6B340EF1"/>
    <w:rsid w:val="6B3D06AC"/>
    <w:rsid w:val="6B444BB7"/>
    <w:rsid w:val="6B44598B"/>
    <w:rsid w:val="6B447945"/>
    <w:rsid w:val="6B472052"/>
    <w:rsid w:val="6B4B2C3B"/>
    <w:rsid w:val="6B4E4A00"/>
    <w:rsid w:val="6B5278F5"/>
    <w:rsid w:val="6B5A64D2"/>
    <w:rsid w:val="6B5B0A52"/>
    <w:rsid w:val="6B5B7CD6"/>
    <w:rsid w:val="6B5D2504"/>
    <w:rsid w:val="6B60471F"/>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B6B18"/>
    <w:rsid w:val="6BEC52EB"/>
    <w:rsid w:val="6BEE5C0E"/>
    <w:rsid w:val="6BF229CE"/>
    <w:rsid w:val="6BF25C39"/>
    <w:rsid w:val="6C06150E"/>
    <w:rsid w:val="6C1407B4"/>
    <w:rsid w:val="6C150C0B"/>
    <w:rsid w:val="6C155F31"/>
    <w:rsid w:val="6C16461F"/>
    <w:rsid w:val="6C206E21"/>
    <w:rsid w:val="6C224EE5"/>
    <w:rsid w:val="6C263A06"/>
    <w:rsid w:val="6C265F77"/>
    <w:rsid w:val="6C3A624E"/>
    <w:rsid w:val="6C3F4795"/>
    <w:rsid w:val="6C431738"/>
    <w:rsid w:val="6C442E2D"/>
    <w:rsid w:val="6C4B106D"/>
    <w:rsid w:val="6C505966"/>
    <w:rsid w:val="6C5D04BB"/>
    <w:rsid w:val="6C6216E6"/>
    <w:rsid w:val="6C65329A"/>
    <w:rsid w:val="6C666C3C"/>
    <w:rsid w:val="6C6833E1"/>
    <w:rsid w:val="6C726F5A"/>
    <w:rsid w:val="6C751A38"/>
    <w:rsid w:val="6C7707E9"/>
    <w:rsid w:val="6C882F2E"/>
    <w:rsid w:val="6C8E4315"/>
    <w:rsid w:val="6C9360FF"/>
    <w:rsid w:val="6C95615F"/>
    <w:rsid w:val="6CA94419"/>
    <w:rsid w:val="6CB242A2"/>
    <w:rsid w:val="6CB92EE5"/>
    <w:rsid w:val="6CBB719C"/>
    <w:rsid w:val="6CC818AD"/>
    <w:rsid w:val="6CD944B7"/>
    <w:rsid w:val="6CE0612A"/>
    <w:rsid w:val="6CE269D3"/>
    <w:rsid w:val="6CEC448A"/>
    <w:rsid w:val="6CED284E"/>
    <w:rsid w:val="6CED3DB2"/>
    <w:rsid w:val="6CF04EB7"/>
    <w:rsid w:val="6CF17872"/>
    <w:rsid w:val="6CF440E8"/>
    <w:rsid w:val="6CF76712"/>
    <w:rsid w:val="6CFD23D1"/>
    <w:rsid w:val="6D033EFD"/>
    <w:rsid w:val="6D06243B"/>
    <w:rsid w:val="6D0652BF"/>
    <w:rsid w:val="6D0A7734"/>
    <w:rsid w:val="6D0B0E35"/>
    <w:rsid w:val="6D0D6D19"/>
    <w:rsid w:val="6D0D75B0"/>
    <w:rsid w:val="6D273B17"/>
    <w:rsid w:val="6D274676"/>
    <w:rsid w:val="6D2D5212"/>
    <w:rsid w:val="6D2F4B50"/>
    <w:rsid w:val="6D334D48"/>
    <w:rsid w:val="6D345EB6"/>
    <w:rsid w:val="6D374EDB"/>
    <w:rsid w:val="6D385ED1"/>
    <w:rsid w:val="6D39012F"/>
    <w:rsid w:val="6D3967DF"/>
    <w:rsid w:val="6D3B5F83"/>
    <w:rsid w:val="6D3C14B2"/>
    <w:rsid w:val="6D436625"/>
    <w:rsid w:val="6D4720E6"/>
    <w:rsid w:val="6D4A7F79"/>
    <w:rsid w:val="6D4B7436"/>
    <w:rsid w:val="6D500998"/>
    <w:rsid w:val="6D5419EC"/>
    <w:rsid w:val="6D59673E"/>
    <w:rsid w:val="6D5B2AAB"/>
    <w:rsid w:val="6D5E64E8"/>
    <w:rsid w:val="6D621A21"/>
    <w:rsid w:val="6D652ED0"/>
    <w:rsid w:val="6D662717"/>
    <w:rsid w:val="6D663299"/>
    <w:rsid w:val="6D6D261E"/>
    <w:rsid w:val="6D770FC8"/>
    <w:rsid w:val="6D790A31"/>
    <w:rsid w:val="6D7D5646"/>
    <w:rsid w:val="6D7D69B3"/>
    <w:rsid w:val="6D7E7B1A"/>
    <w:rsid w:val="6D807862"/>
    <w:rsid w:val="6D811E5F"/>
    <w:rsid w:val="6D816186"/>
    <w:rsid w:val="6D8F5451"/>
    <w:rsid w:val="6D90338E"/>
    <w:rsid w:val="6D925740"/>
    <w:rsid w:val="6D9D3EE4"/>
    <w:rsid w:val="6D9E7C69"/>
    <w:rsid w:val="6DA71839"/>
    <w:rsid w:val="6DA84071"/>
    <w:rsid w:val="6DB20233"/>
    <w:rsid w:val="6DB77BCC"/>
    <w:rsid w:val="6DB81D13"/>
    <w:rsid w:val="6DBE1B7B"/>
    <w:rsid w:val="6DC54D30"/>
    <w:rsid w:val="6DC65806"/>
    <w:rsid w:val="6DCA2F8B"/>
    <w:rsid w:val="6DDF0294"/>
    <w:rsid w:val="6DE9618F"/>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9B6602"/>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CD2DC8"/>
    <w:rsid w:val="6ED163C0"/>
    <w:rsid w:val="6ED266F7"/>
    <w:rsid w:val="6EE939F2"/>
    <w:rsid w:val="6EF22C5A"/>
    <w:rsid w:val="6EF7549B"/>
    <w:rsid w:val="6F021829"/>
    <w:rsid w:val="6F08724A"/>
    <w:rsid w:val="6F090932"/>
    <w:rsid w:val="6F14289F"/>
    <w:rsid w:val="6F153E64"/>
    <w:rsid w:val="6F162C84"/>
    <w:rsid w:val="6F263789"/>
    <w:rsid w:val="6F28474F"/>
    <w:rsid w:val="6F350882"/>
    <w:rsid w:val="6F35635E"/>
    <w:rsid w:val="6F3713E9"/>
    <w:rsid w:val="6F384951"/>
    <w:rsid w:val="6F447F07"/>
    <w:rsid w:val="6F4876AF"/>
    <w:rsid w:val="6F537FC0"/>
    <w:rsid w:val="6F5E3CAA"/>
    <w:rsid w:val="6F607895"/>
    <w:rsid w:val="6F61040C"/>
    <w:rsid w:val="6F6776E1"/>
    <w:rsid w:val="6F6B5749"/>
    <w:rsid w:val="6F702CF5"/>
    <w:rsid w:val="6F714EFF"/>
    <w:rsid w:val="6F7A0C79"/>
    <w:rsid w:val="6F7E1B78"/>
    <w:rsid w:val="6F8D7897"/>
    <w:rsid w:val="6F9A4660"/>
    <w:rsid w:val="6F9C5D71"/>
    <w:rsid w:val="6FA3781E"/>
    <w:rsid w:val="6FA84DB7"/>
    <w:rsid w:val="6FA9586A"/>
    <w:rsid w:val="6FAC61CF"/>
    <w:rsid w:val="6FAD768A"/>
    <w:rsid w:val="6FAF5C06"/>
    <w:rsid w:val="6FB32C37"/>
    <w:rsid w:val="6FB415FB"/>
    <w:rsid w:val="6FB51E4A"/>
    <w:rsid w:val="6FB7425E"/>
    <w:rsid w:val="6FB80EE8"/>
    <w:rsid w:val="6FC0781E"/>
    <w:rsid w:val="6FD36624"/>
    <w:rsid w:val="6FD86BFB"/>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2B3ED7"/>
    <w:rsid w:val="70326141"/>
    <w:rsid w:val="70350F78"/>
    <w:rsid w:val="70370653"/>
    <w:rsid w:val="70385F59"/>
    <w:rsid w:val="70387A8F"/>
    <w:rsid w:val="70404811"/>
    <w:rsid w:val="70494AF1"/>
    <w:rsid w:val="704A6916"/>
    <w:rsid w:val="7054528E"/>
    <w:rsid w:val="70555B90"/>
    <w:rsid w:val="705E76BE"/>
    <w:rsid w:val="70680AC8"/>
    <w:rsid w:val="70684400"/>
    <w:rsid w:val="706D51B8"/>
    <w:rsid w:val="70712877"/>
    <w:rsid w:val="70737F32"/>
    <w:rsid w:val="70767F2C"/>
    <w:rsid w:val="70785A86"/>
    <w:rsid w:val="707E62BB"/>
    <w:rsid w:val="70910C43"/>
    <w:rsid w:val="70992BBC"/>
    <w:rsid w:val="709E4E34"/>
    <w:rsid w:val="709E640C"/>
    <w:rsid w:val="70A106DA"/>
    <w:rsid w:val="70A156F4"/>
    <w:rsid w:val="70A24763"/>
    <w:rsid w:val="70AC0E63"/>
    <w:rsid w:val="70AD5CCA"/>
    <w:rsid w:val="70AE736D"/>
    <w:rsid w:val="70AF55CD"/>
    <w:rsid w:val="70B56633"/>
    <w:rsid w:val="70BB0D3E"/>
    <w:rsid w:val="70BE706C"/>
    <w:rsid w:val="70C52734"/>
    <w:rsid w:val="70C84253"/>
    <w:rsid w:val="70CA126A"/>
    <w:rsid w:val="70CB6779"/>
    <w:rsid w:val="70CE384D"/>
    <w:rsid w:val="70CF3906"/>
    <w:rsid w:val="70D057EA"/>
    <w:rsid w:val="70D91094"/>
    <w:rsid w:val="70DB76EF"/>
    <w:rsid w:val="70DB7ADF"/>
    <w:rsid w:val="70E32B5B"/>
    <w:rsid w:val="70E47264"/>
    <w:rsid w:val="70F04773"/>
    <w:rsid w:val="70F147D7"/>
    <w:rsid w:val="70FC2C60"/>
    <w:rsid w:val="71017D80"/>
    <w:rsid w:val="710524E2"/>
    <w:rsid w:val="710B03C6"/>
    <w:rsid w:val="710C1678"/>
    <w:rsid w:val="710F2DDC"/>
    <w:rsid w:val="711604AB"/>
    <w:rsid w:val="711E68DF"/>
    <w:rsid w:val="71211E57"/>
    <w:rsid w:val="712762EB"/>
    <w:rsid w:val="712D2ADB"/>
    <w:rsid w:val="712D4159"/>
    <w:rsid w:val="71346346"/>
    <w:rsid w:val="71346CB6"/>
    <w:rsid w:val="7136388E"/>
    <w:rsid w:val="713A1F62"/>
    <w:rsid w:val="713B0EA5"/>
    <w:rsid w:val="713E229B"/>
    <w:rsid w:val="714200B6"/>
    <w:rsid w:val="71431855"/>
    <w:rsid w:val="7143374A"/>
    <w:rsid w:val="714366F7"/>
    <w:rsid w:val="7147738E"/>
    <w:rsid w:val="7148649A"/>
    <w:rsid w:val="714A6697"/>
    <w:rsid w:val="715117C4"/>
    <w:rsid w:val="71536701"/>
    <w:rsid w:val="71554E10"/>
    <w:rsid w:val="715D365A"/>
    <w:rsid w:val="715D7038"/>
    <w:rsid w:val="71636BC2"/>
    <w:rsid w:val="71676D13"/>
    <w:rsid w:val="716A160C"/>
    <w:rsid w:val="716B5F96"/>
    <w:rsid w:val="716C65C5"/>
    <w:rsid w:val="716D67F7"/>
    <w:rsid w:val="716E08C5"/>
    <w:rsid w:val="71747EDF"/>
    <w:rsid w:val="7183292B"/>
    <w:rsid w:val="71890883"/>
    <w:rsid w:val="71891832"/>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E7E80"/>
    <w:rsid w:val="71EF5D41"/>
    <w:rsid w:val="71F2174E"/>
    <w:rsid w:val="71F26295"/>
    <w:rsid w:val="71F64447"/>
    <w:rsid w:val="71FC70DF"/>
    <w:rsid w:val="71FF2034"/>
    <w:rsid w:val="720319CB"/>
    <w:rsid w:val="72056436"/>
    <w:rsid w:val="720979A0"/>
    <w:rsid w:val="720F633E"/>
    <w:rsid w:val="72130B93"/>
    <w:rsid w:val="721C688B"/>
    <w:rsid w:val="72200AF0"/>
    <w:rsid w:val="722948F5"/>
    <w:rsid w:val="722E7DFE"/>
    <w:rsid w:val="723032E3"/>
    <w:rsid w:val="7235246C"/>
    <w:rsid w:val="723749D7"/>
    <w:rsid w:val="723908BB"/>
    <w:rsid w:val="7240223C"/>
    <w:rsid w:val="724219E5"/>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56FA9"/>
    <w:rsid w:val="734E1729"/>
    <w:rsid w:val="73510529"/>
    <w:rsid w:val="73526138"/>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B001E3"/>
    <w:rsid w:val="73B1400F"/>
    <w:rsid w:val="73B4611E"/>
    <w:rsid w:val="73B726D3"/>
    <w:rsid w:val="73B7366A"/>
    <w:rsid w:val="73BA064C"/>
    <w:rsid w:val="73BB3C6E"/>
    <w:rsid w:val="73CE1997"/>
    <w:rsid w:val="73D260A7"/>
    <w:rsid w:val="73D66BFB"/>
    <w:rsid w:val="73DB12EA"/>
    <w:rsid w:val="73DB45F5"/>
    <w:rsid w:val="73DD2FB8"/>
    <w:rsid w:val="73DD3CB3"/>
    <w:rsid w:val="73DE1AB7"/>
    <w:rsid w:val="73EC7C9D"/>
    <w:rsid w:val="73EE45A8"/>
    <w:rsid w:val="73EE6F0E"/>
    <w:rsid w:val="73F5257C"/>
    <w:rsid w:val="73F67B1C"/>
    <w:rsid w:val="73F8258B"/>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63A12"/>
    <w:rsid w:val="74A73312"/>
    <w:rsid w:val="74A739B2"/>
    <w:rsid w:val="74B06962"/>
    <w:rsid w:val="74B32215"/>
    <w:rsid w:val="74BB7193"/>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C76FA"/>
    <w:rsid w:val="751E29FC"/>
    <w:rsid w:val="752B3381"/>
    <w:rsid w:val="75325694"/>
    <w:rsid w:val="7534402F"/>
    <w:rsid w:val="75376E15"/>
    <w:rsid w:val="753B454F"/>
    <w:rsid w:val="753D6B7D"/>
    <w:rsid w:val="75441B17"/>
    <w:rsid w:val="75457EFF"/>
    <w:rsid w:val="7554481F"/>
    <w:rsid w:val="75594581"/>
    <w:rsid w:val="755A35FA"/>
    <w:rsid w:val="755A5494"/>
    <w:rsid w:val="755C158A"/>
    <w:rsid w:val="75625A16"/>
    <w:rsid w:val="7564200E"/>
    <w:rsid w:val="75663FD1"/>
    <w:rsid w:val="75677137"/>
    <w:rsid w:val="75696461"/>
    <w:rsid w:val="756F19B6"/>
    <w:rsid w:val="757540E3"/>
    <w:rsid w:val="757D2DDE"/>
    <w:rsid w:val="758F201D"/>
    <w:rsid w:val="75904ECF"/>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A5DBC"/>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11B2C"/>
    <w:rsid w:val="77387725"/>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4688A"/>
    <w:rsid w:val="77966F4C"/>
    <w:rsid w:val="779A317D"/>
    <w:rsid w:val="779D7890"/>
    <w:rsid w:val="779E1756"/>
    <w:rsid w:val="779E309B"/>
    <w:rsid w:val="77A31525"/>
    <w:rsid w:val="77A47BCA"/>
    <w:rsid w:val="77A75021"/>
    <w:rsid w:val="77B4796D"/>
    <w:rsid w:val="77B8689C"/>
    <w:rsid w:val="77B87D6C"/>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356A"/>
    <w:rsid w:val="78620E7C"/>
    <w:rsid w:val="787659AD"/>
    <w:rsid w:val="788446BE"/>
    <w:rsid w:val="78862765"/>
    <w:rsid w:val="7888219B"/>
    <w:rsid w:val="78883E95"/>
    <w:rsid w:val="78887070"/>
    <w:rsid w:val="788908C8"/>
    <w:rsid w:val="78942734"/>
    <w:rsid w:val="78945931"/>
    <w:rsid w:val="78993306"/>
    <w:rsid w:val="78A04E20"/>
    <w:rsid w:val="78A36BF5"/>
    <w:rsid w:val="78A561F3"/>
    <w:rsid w:val="78A63B0E"/>
    <w:rsid w:val="78A953B7"/>
    <w:rsid w:val="78AB3452"/>
    <w:rsid w:val="78B0117B"/>
    <w:rsid w:val="78B57D00"/>
    <w:rsid w:val="78B706A3"/>
    <w:rsid w:val="78B91C9F"/>
    <w:rsid w:val="78BC539D"/>
    <w:rsid w:val="78C134B0"/>
    <w:rsid w:val="78C1373F"/>
    <w:rsid w:val="78C448EB"/>
    <w:rsid w:val="78C47CA6"/>
    <w:rsid w:val="78C64CC0"/>
    <w:rsid w:val="78C67D14"/>
    <w:rsid w:val="78CD3535"/>
    <w:rsid w:val="78D97F0E"/>
    <w:rsid w:val="78DA009A"/>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66C1B"/>
    <w:rsid w:val="79176206"/>
    <w:rsid w:val="79193B81"/>
    <w:rsid w:val="791C7612"/>
    <w:rsid w:val="791E00BA"/>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2B58"/>
    <w:rsid w:val="79C95AED"/>
    <w:rsid w:val="79D62785"/>
    <w:rsid w:val="79DF1EBA"/>
    <w:rsid w:val="79E07F61"/>
    <w:rsid w:val="79E12ED9"/>
    <w:rsid w:val="79E352FF"/>
    <w:rsid w:val="79E9023D"/>
    <w:rsid w:val="79ED6701"/>
    <w:rsid w:val="79EE7E8E"/>
    <w:rsid w:val="79F30A3A"/>
    <w:rsid w:val="79F907B4"/>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51FB5"/>
    <w:rsid w:val="7A5863D3"/>
    <w:rsid w:val="7A5C5FAF"/>
    <w:rsid w:val="7A634604"/>
    <w:rsid w:val="7A64499E"/>
    <w:rsid w:val="7A644D16"/>
    <w:rsid w:val="7A6656B6"/>
    <w:rsid w:val="7A665F09"/>
    <w:rsid w:val="7A6C3449"/>
    <w:rsid w:val="7A6E0F78"/>
    <w:rsid w:val="7A711BBA"/>
    <w:rsid w:val="7A723F72"/>
    <w:rsid w:val="7A743D9C"/>
    <w:rsid w:val="7A7B2C10"/>
    <w:rsid w:val="7A7D4128"/>
    <w:rsid w:val="7A7E70A2"/>
    <w:rsid w:val="7A8075BA"/>
    <w:rsid w:val="7A820760"/>
    <w:rsid w:val="7A87742E"/>
    <w:rsid w:val="7A8C1022"/>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71AF0"/>
    <w:rsid w:val="7AE833BC"/>
    <w:rsid w:val="7AF91DAF"/>
    <w:rsid w:val="7AF9607E"/>
    <w:rsid w:val="7AFE32DE"/>
    <w:rsid w:val="7B0072B4"/>
    <w:rsid w:val="7B0211AC"/>
    <w:rsid w:val="7B0C08EF"/>
    <w:rsid w:val="7B0C2969"/>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57749"/>
    <w:rsid w:val="7C472DAB"/>
    <w:rsid w:val="7C550FEC"/>
    <w:rsid w:val="7C574C21"/>
    <w:rsid w:val="7C5F4D1F"/>
    <w:rsid w:val="7C610C91"/>
    <w:rsid w:val="7C613AEC"/>
    <w:rsid w:val="7C655448"/>
    <w:rsid w:val="7C6E7E2C"/>
    <w:rsid w:val="7C734075"/>
    <w:rsid w:val="7C7468D9"/>
    <w:rsid w:val="7C764182"/>
    <w:rsid w:val="7C773CA6"/>
    <w:rsid w:val="7C7B0A0D"/>
    <w:rsid w:val="7C815D2A"/>
    <w:rsid w:val="7C831756"/>
    <w:rsid w:val="7C8C4CAB"/>
    <w:rsid w:val="7C982736"/>
    <w:rsid w:val="7C9A2FA3"/>
    <w:rsid w:val="7C9E5A24"/>
    <w:rsid w:val="7CA3583F"/>
    <w:rsid w:val="7CA67728"/>
    <w:rsid w:val="7CB027DF"/>
    <w:rsid w:val="7CB2364E"/>
    <w:rsid w:val="7CB271E9"/>
    <w:rsid w:val="7CB62523"/>
    <w:rsid w:val="7CB64372"/>
    <w:rsid w:val="7CBA1CBB"/>
    <w:rsid w:val="7CCA5583"/>
    <w:rsid w:val="7CCE6E72"/>
    <w:rsid w:val="7CCF1812"/>
    <w:rsid w:val="7CD72F9B"/>
    <w:rsid w:val="7CE146B6"/>
    <w:rsid w:val="7CE65C11"/>
    <w:rsid w:val="7CE70935"/>
    <w:rsid w:val="7CEA4A6C"/>
    <w:rsid w:val="7CF84A31"/>
    <w:rsid w:val="7CFC44C2"/>
    <w:rsid w:val="7CFF1C44"/>
    <w:rsid w:val="7CFF28B4"/>
    <w:rsid w:val="7D013B39"/>
    <w:rsid w:val="7D060FAD"/>
    <w:rsid w:val="7D0826CA"/>
    <w:rsid w:val="7D0D06E5"/>
    <w:rsid w:val="7D130509"/>
    <w:rsid w:val="7D1946C0"/>
    <w:rsid w:val="7D1D7FE9"/>
    <w:rsid w:val="7D292A41"/>
    <w:rsid w:val="7D2A5CCB"/>
    <w:rsid w:val="7D377B94"/>
    <w:rsid w:val="7D401CAA"/>
    <w:rsid w:val="7D4E195B"/>
    <w:rsid w:val="7D4F4ABB"/>
    <w:rsid w:val="7D515EFA"/>
    <w:rsid w:val="7D5431B0"/>
    <w:rsid w:val="7D5C5444"/>
    <w:rsid w:val="7D630A43"/>
    <w:rsid w:val="7D635C6D"/>
    <w:rsid w:val="7D64087E"/>
    <w:rsid w:val="7D642C85"/>
    <w:rsid w:val="7D69117D"/>
    <w:rsid w:val="7D696CB2"/>
    <w:rsid w:val="7D6F06CE"/>
    <w:rsid w:val="7D7A555A"/>
    <w:rsid w:val="7D7F5298"/>
    <w:rsid w:val="7D8362BA"/>
    <w:rsid w:val="7D8B7B11"/>
    <w:rsid w:val="7D9D13E0"/>
    <w:rsid w:val="7D9F0F7A"/>
    <w:rsid w:val="7DA843EE"/>
    <w:rsid w:val="7DA948C4"/>
    <w:rsid w:val="7DAB10BD"/>
    <w:rsid w:val="7DAF4AB4"/>
    <w:rsid w:val="7DBE609A"/>
    <w:rsid w:val="7DBF2E7A"/>
    <w:rsid w:val="7DC266E0"/>
    <w:rsid w:val="7DC4279D"/>
    <w:rsid w:val="7DCA054D"/>
    <w:rsid w:val="7DCC7A63"/>
    <w:rsid w:val="7DD7657D"/>
    <w:rsid w:val="7DDA6C39"/>
    <w:rsid w:val="7DE15552"/>
    <w:rsid w:val="7DE16744"/>
    <w:rsid w:val="7DE653AB"/>
    <w:rsid w:val="7DE71438"/>
    <w:rsid w:val="7DEB2C44"/>
    <w:rsid w:val="7DF45E46"/>
    <w:rsid w:val="7DF464FC"/>
    <w:rsid w:val="7DF72683"/>
    <w:rsid w:val="7DFE2E40"/>
    <w:rsid w:val="7DFE63E1"/>
    <w:rsid w:val="7E006A11"/>
    <w:rsid w:val="7E043ED9"/>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B0997"/>
    <w:rsid w:val="7F536DE1"/>
    <w:rsid w:val="7F6339F7"/>
    <w:rsid w:val="7F64728F"/>
    <w:rsid w:val="7F7011DC"/>
    <w:rsid w:val="7F8403DB"/>
    <w:rsid w:val="7F8660CD"/>
    <w:rsid w:val="7F8A2E2C"/>
    <w:rsid w:val="7F963419"/>
    <w:rsid w:val="7F98528E"/>
    <w:rsid w:val="7F9B40E4"/>
    <w:rsid w:val="7FA069EC"/>
    <w:rsid w:val="7FB351E6"/>
    <w:rsid w:val="7FB422D4"/>
    <w:rsid w:val="7FD277AE"/>
    <w:rsid w:val="7FDA2CD0"/>
    <w:rsid w:val="7FDB769F"/>
    <w:rsid w:val="7FE60FE4"/>
    <w:rsid w:val="7FEC3961"/>
    <w:rsid w:val="7FEC7AE0"/>
    <w:rsid w:val="7FEE568F"/>
    <w:rsid w:val="7FEF3E84"/>
    <w:rsid w:val="7FF10D9A"/>
    <w:rsid w:val="7FF908EE"/>
    <w:rsid w:val="7FF94405"/>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numbering" Target="numbering.xml"/><Relationship Id="rId16" Type="http://schemas.openxmlformats.org/officeDocument/2006/relationships/image" Target="media/image10.emf"/><Relationship Id="rId15" Type="http://schemas.openxmlformats.org/officeDocument/2006/relationships/image" Target="media/image9.emf"/><Relationship Id="rId14" Type="http://schemas.openxmlformats.org/officeDocument/2006/relationships/image" Target="media/image8.emf"/><Relationship Id="rId13" Type="http://schemas.openxmlformats.org/officeDocument/2006/relationships/image" Target="media/image7.emf"/><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11</Pages>
  <Words>1624</Words>
  <Characters>8855</Characters>
  <Lines>82</Lines>
  <Paragraphs>23</Paragraphs>
  <TotalTime>1</TotalTime>
  <ScaleCrop>false</ScaleCrop>
  <LinksUpToDate>false</LinksUpToDate>
  <CharactersWithSpaces>10435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2025-03-28T14:15:59Z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3DE02747E95945BA9E75CB7C9FF17B32</vt:lpwstr>
  </property>
  <property fmtid="{D5CDD505-2E9C-101B-9397-08002B2CF9AE}" pid="4" name="KSOTemplateDocerSaveRecord">
    <vt:lpwstr>eyJoZGlkIjoiNTA2MDIzMjk0NzI5MmEzNWQ4YmNjZGZiMjgzNzc2MDMiLCJ1c2VySWQiOiIxMDQyMjkzMzc0In0=</vt:lpwstr>
  </property>
</Properties>
</file>